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5CF4A">
      <w:pPr>
        <w:keepNext/>
        <w:keepLines/>
        <w:pageBreakBefore/>
        <w:widowControl/>
        <w:adjustRightInd w:val="0"/>
        <w:snapToGrid w:val="0"/>
        <w:spacing w:after="200"/>
        <w:jc w:val="center"/>
        <w:outlineLvl w:val="0"/>
        <w:rPr>
          <w:rFonts w:ascii="Tahoma" w:hAnsi="Tahoma" w:eastAsia="微软雅黑" w:cs="Times New Roman"/>
          <w:b/>
          <w:kern w:val="0"/>
          <w:sz w:val="44"/>
          <w:szCs w:val="44"/>
        </w:rPr>
      </w:pPr>
      <w:r>
        <w:rPr>
          <w:rFonts w:hint="eastAsia" w:ascii="Tahoma" w:hAnsi="Tahoma" w:eastAsia="微软雅黑" w:cs="Times New Roman"/>
          <w:b/>
          <w:kern w:val="0"/>
          <w:sz w:val="44"/>
          <w:szCs w:val="44"/>
        </w:rPr>
        <w:t>第四章</w:t>
      </w:r>
      <w:r>
        <w:rPr>
          <w:rFonts w:ascii="Tahoma" w:hAnsi="Tahoma" w:eastAsia="微软雅黑" w:cs="Times New Roman"/>
          <w:b/>
          <w:kern w:val="0"/>
          <w:sz w:val="44"/>
          <w:szCs w:val="44"/>
        </w:rPr>
        <w:t xml:space="preserve">  </w:t>
      </w:r>
      <w:r>
        <w:rPr>
          <w:rFonts w:hint="eastAsia" w:ascii="Tahoma" w:hAnsi="Tahoma" w:eastAsia="微软雅黑" w:cs="Times New Roman"/>
          <w:b/>
          <w:kern w:val="0"/>
          <w:sz w:val="44"/>
          <w:szCs w:val="44"/>
        </w:rPr>
        <w:t>采购需求</w:t>
      </w:r>
    </w:p>
    <w:p w14:paraId="65523E94">
      <w:pPr>
        <w:widowControl/>
        <w:adjustRightInd w:val="0"/>
        <w:snapToGrid w:val="0"/>
        <w:spacing w:after="200" w:line="480" w:lineRule="exact"/>
        <w:jc w:val="left"/>
        <w:rPr>
          <w:rFonts w:ascii="宋体" w:hAnsi="宋体" w:eastAsia="微软雅黑" w:cs="Times New Roman"/>
          <w:b/>
          <w:kern w:val="0"/>
          <w:sz w:val="24"/>
          <w:szCs w:val="24"/>
        </w:rPr>
      </w:pPr>
      <w:r>
        <w:rPr>
          <w:rFonts w:hint="eastAsia" w:ascii="宋体" w:hAnsi="宋体" w:eastAsia="微软雅黑" w:cs="Times New Roman"/>
          <w:b/>
          <w:kern w:val="0"/>
          <w:sz w:val="24"/>
          <w:szCs w:val="24"/>
        </w:rPr>
        <w:t>采购</w:t>
      </w:r>
      <w:r>
        <w:rPr>
          <w:rFonts w:ascii="宋体" w:hAnsi="宋体" w:eastAsia="微软雅黑" w:cs="Times New Roman"/>
          <w:b/>
          <w:kern w:val="0"/>
          <w:sz w:val="24"/>
          <w:szCs w:val="24"/>
        </w:rPr>
        <w:t>标的清单</w:t>
      </w:r>
    </w:p>
    <w:tbl>
      <w:tblPr>
        <w:tblStyle w:val="2"/>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5314"/>
        <w:gridCol w:w="2582"/>
      </w:tblGrid>
      <w:tr w14:paraId="0CD1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91" w:type="dxa"/>
            <w:vAlign w:val="center"/>
          </w:tcPr>
          <w:p w14:paraId="6912CEF7">
            <w:pPr>
              <w:widowControl/>
              <w:adjustRightInd w:val="0"/>
              <w:snapToGrid w:val="0"/>
              <w:spacing w:after="200" w:line="360" w:lineRule="exact"/>
              <w:jc w:val="center"/>
              <w:rPr>
                <w:rFonts w:ascii="宋体" w:hAnsi="宋体" w:eastAsia="微软雅黑" w:cs="Times New Roman"/>
                <w:kern w:val="0"/>
                <w:sz w:val="24"/>
                <w:szCs w:val="24"/>
              </w:rPr>
            </w:pPr>
            <w:r>
              <w:rPr>
                <w:rFonts w:hint="eastAsia" w:ascii="宋体" w:hAnsi="宋体" w:eastAsia="微软雅黑" w:cs="Times New Roman"/>
                <w:kern w:val="0"/>
                <w:sz w:val="24"/>
                <w:szCs w:val="24"/>
              </w:rPr>
              <w:t>序号</w:t>
            </w:r>
          </w:p>
        </w:tc>
        <w:tc>
          <w:tcPr>
            <w:tcW w:w="5314" w:type="dxa"/>
            <w:vAlign w:val="center"/>
          </w:tcPr>
          <w:p w14:paraId="233FD16C">
            <w:pPr>
              <w:widowControl/>
              <w:adjustRightInd w:val="0"/>
              <w:snapToGrid w:val="0"/>
              <w:spacing w:after="200" w:line="360" w:lineRule="exact"/>
              <w:jc w:val="center"/>
              <w:rPr>
                <w:rFonts w:ascii="宋体" w:hAnsi="宋体" w:eastAsia="微软雅黑" w:cs="Times New Roman"/>
                <w:kern w:val="0"/>
                <w:sz w:val="24"/>
                <w:szCs w:val="24"/>
              </w:rPr>
            </w:pPr>
            <w:r>
              <w:rPr>
                <w:rFonts w:hint="eastAsia" w:ascii="宋体" w:hAnsi="宋体" w:eastAsia="微软雅黑" w:cs="Times New Roman"/>
                <w:kern w:val="0"/>
                <w:sz w:val="24"/>
                <w:szCs w:val="24"/>
              </w:rPr>
              <w:t>采购标的</w:t>
            </w:r>
          </w:p>
        </w:tc>
        <w:tc>
          <w:tcPr>
            <w:tcW w:w="2582" w:type="dxa"/>
            <w:vAlign w:val="center"/>
          </w:tcPr>
          <w:p w14:paraId="72A72DD6">
            <w:pPr>
              <w:widowControl/>
              <w:adjustRightInd w:val="0"/>
              <w:snapToGrid w:val="0"/>
              <w:spacing w:after="200" w:line="360" w:lineRule="exact"/>
              <w:jc w:val="center"/>
              <w:rPr>
                <w:rFonts w:ascii="宋体" w:hAnsi="宋体" w:eastAsia="微软雅黑" w:cs="Times New Roman"/>
                <w:kern w:val="0"/>
                <w:sz w:val="24"/>
                <w:szCs w:val="24"/>
              </w:rPr>
            </w:pPr>
            <w:r>
              <w:rPr>
                <w:rFonts w:hint="eastAsia" w:ascii="宋体" w:hAnsi="宋体" w:eastAsia="微软雅黑" w:cs="Times New Roman"/>
                <w:kern w:val="0"/>
                <w:sz w:val="24"/>
                <w:szCs w:val="24"/>
              </w:rPr>
              <w:t>对应中</w:t>
            </w:r>
            <w:r>
              <w:rPr>
                <w:rFonts w:ascii="宋体" w:hAnsi="宋体" w:eastAsia="微软雅黑" w:cs="Times New Roman"/>
                <w:kern w:val="0"/>
                <w:sz w:val="24"/>
                <w:szCs w:val="24"/>
              </w:rPr>
              <w:t>小企业划分标准所属行业</w:t>
            </w:r>
          </w:p>
        </w:tc>
      </w:tr>
      <w:tr w14:paraId="265F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891" w:type="dxa"/>
            <w:vAlign w:val="center"/>
          </w:tcPr>
          <w:p w14:paraId="023F5850">
            <w:pPr>
              <w:widowControl/>
              <w:tabs>
                <w:tab w:val="left" w:pos="2020"/>
              </w:tabs>
              <w:adjustRightInd w:val="0"/>
              <w:snapToGrid w:val="0"/>
              <w:spacing w:after="200" w:line="360" w:lineRule="exact"/>
              <w:jc w:val="center"/>
              <w:rPr>
                <w:rFonts w:ascii="宋体" w:hAnsi="宋体" w:eastAsia="微软雅黑" w:cs="Times New Roman"/>
                <w:kern w:val="0"/>
                <w:sz w:val="24"/>
                <w:szCs w:val="24"/>
              </w:rPr>
            </w:pPr>
            <w:r>
              <w:rPr>
                <w:rFonts w:hint="eastAsia" w:ascii="宋体" w:hAnsi="宋体" w:eastAsia="微软雅黑" w:cs="Times New Roman"/>
                <w:kern w:val="0"/>
                <w:sz w:val="24"/>
                <w:szCs w:val="24"/>
              </w:rPr>
              <w:t>1</w:t>
            </w:r>
          </w:p>
        </w:tc>
        <w:tc>
          <w:tcPr>
            <w:tcW w:w="5314" w:type="dxa"/>
            <w:vAlign w:val="center"/>
          </w:tcPr>
          <w:p w14:paraId="7C13C172">
            <w:pPr>
              <w:widowControl/>
              <w:tabs>
                <w:tab w:val="left" w:pos="2020"/>
              </w:tabs>
              <w:adjustRightInd w:val="0"/>
              <w:snapToGrid w:val="0"/>
              <w:spacing w:after="200" w:line="360" w:lineRule="exact"/>
              <w:jc w:val="center"/>
              <w:rPr>
                <w:rFonts w:ascii="宋体" w:hAnsi="宋体" w:eastAsia="微软雅黑" w:cs="Times New Roman"/>
                <w:kern w:val="0"/>
                <w:sz w:val="24"/>
                <w:szCs w:val="24"/>
              </w:rPr>
            </w:pPr>
            <w:r>
              <w:rPr>
                <w:rFonts w:hint="eastAsia" w:ascii="宋体" w:hAnsi="宋体" w:eastAsia="微软雅黑" w:cs="Times New Roman"/>
                <w:kern w:val="0"/>
                <w:sz w:val="24"/>
                <w:szCs w:val="24"/>
              </w:rPr>
              <w:t>江苏省宿豫中等专业学校2025年—2027年物业保洁服务采购项目</w:t>
            </w:r>
          </w:p>
        </w:tc>
        <w:tc>
          <w:tcPr>
            <w:tcW w:w="2582" w:type="dxa"/>
            <w:vAlign w:val="center"/>
          </w:tcPr>
          <w:p w14:paraId="3FF13CDE">
            <w:pPr>
              <w:widowControl/>
              <w:adjustRightInd w:val="0"/>
              <w:snapToGrid w:val="0"/>
              <w:spacing w:after="200" w:line="360" w:lineRule="exact"/>
              <w:jc w:val="center"/>
              <w:rPr>
                <w:rFonts w:ascii="宋体" w:hAnsi="宋体" w:eastAsia="微软雅黑" w:cs="Times New Roman"/>
                <w:kern w:val="0"/>
                <w:sz w:val="24"/>
                <w:szCs w:val="24"/>
              </w:rPr>
            </w:pPr>
            <w:r>
              <w:rPr>
                <w:rFonts w:hint="eastAsia" w:ascii="宋体" w:hAnsi="宋体" w:eastAsia="微软雅黑" w:cs="Times New Roman"/>
                <w:kern w:val="0"/>
                <w:sz w:val="24"/>
                <w:szCs w:val="24"/>
              </w:rPr>
              <w:t>物业管理服务</w:t>
            </w:r>
          </w:p>
        </w:tc>
      </w:tr>
    </w:tbl>
    <w:p w14:paraId="1D98B4F3">
      <w:pPr>
        <w:widowControl/>
        <w:adjustRightInd w:val="0"/>
        <w:snapToGrid w:val="0"/>
        <w:spacing w:after="200" w:line="400" w:lineRule="exact"/>
        <w:ind w:firstLine="480"/>
        <w:jc w:val="left"/>
        <w:rPr>
          <w:rFonts w:ascii="宋体" w:hAnsi="宋体" w:eastAsia="微软雅黑" w:cs="Times New Roman"/>
          <w:kern w:val="0"/>
          <w:sz w:val="24"/>
          <w:szCs w:val="24"/>
        </w:rPr>
      </w:pPr>
    </w:p>
    <w:p w14:paraId="51066860">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一、项目概况</w:t>
      </w:r>
    </w:p>
    <w:tbl>
      <w:tblPr>
        <w:tblStyle w:val="2"/>
        <w:tblW w:w="9395" w:type="dxa"/>
        <w:tblInd w:w="-2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3633"/>
        <w:gridCol w:w="5762"/>
      </w:tblGrid>
      <w:tr w14:paraId="2847C1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9395" w:type="dxa"/>
            <w:gridSpan w:val="2"/>
            <w:vAlign w:val="center"/>
          </w:tcPr>
          <w:p w14:paraId="5E6B63F0">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1.基本情况</w:t>
            </w:r>
          </w:p>
        </w:tc>
      </w:tr>
      <w:tr w14:paraId="10CB9C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57" w:hRule="atLeast"/>
        </w:trPr>
        <w:tc>
          <w:tcPr>
            <w:tcW w:w="9395" w:type="dxa"/>
            <w:gridSpan w:val="2"/>
            <w:vAlign w:val="center"/>
          </w:tcPr>
          <w:p w14:paraId="56F441E4">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1.1物业情况</w:t>
            </w:r>
          </w:p>
        </w:tc>
      </w:tr>
      <w:tr w14:paraId="37929E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3633" w:type="dxa"/>
            <w:vAlign w:val="center"/>
          </w:tcPr>
          <w:p w14:paraId="07F1A1FE">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物业名称</w:t>
            </w:r>
          </w:p>
        </w:tc>
        <w:tc>
          <w:tcPr>
            <w:tcW w:w="5762" w:type="dxa"/>
            <w:vAlign w:val="center"/>
          </w:tcPr>
          <w:p w14:paraId="001D661F">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物业地址</w:t>
            </w:r>
          </w:p>
        </w:tc>
      </w:tr>
      <w:tr w14:paraId="221B21A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3633" w:type="dxa"/>
            <w:vAlign w:val="center"/>
          </w:tcPr>
          <w:p w14:paraId="7BCF16FC">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江苏省宿豫中等专业学校</w:t>
            </w:r>
          </w:p>
        </w:tc>
        <w:tc>
          <w:tcPr>
            <w:tcW w:w="5762" w:type="dxa"/>
            <w:vAlign w:val="center"/>
          </w:tcPr>
          <w:p w14:paraId="4D0D5A73">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宿迁市宿豫区黄山路17号</w:t>
            </w:r>
          </w:p>
        </w:tc>
      </w:tr>
      <w:tr w14:paraId="7A1A2F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9395" w:type="dxa"/>
            <w:gridSpan w:val="2"/>
            <w:vAlign w:val="center"/>
          </w:tcPr>
          <w:p w14:paraId="301DA090">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1.2采购人提供供应商使用的场地、设施、设备、材料等</w:t>
            </w:r>
          </w:p>
        </w:tc>
      </w:tr>
      <w:tr w14:paraId="22D195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9395" w:type="dxa"/>
            <w:gridSpan w:val="2"/>
            <w:vAlign w:val="center"/>
          </w:tcPr>
          <w:p w14:paraId="154A63C2">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Times New Roman"/>
                <w:kern w:val="0"/>
                <w:szCs w:val="22"/>
              </w:rPr>
              <w:t>（1）提供物业办公室一间，配备普通办公桌椅等；</w:t>
            </w:r>
          </w:p>
        </w:tc>
      </w:tr>
      <w:tr w14:paraId="0A146B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80" w:hRule="atLeast"/>
        </w:trPr>
        <w:tc>
          <w:tcPr>
            <w:tcW w:w="9395" w:type="dxa"/>
            <w:gridSpan w:val="2"/>
            <w:vAlign w:val="center"/>
          </w:tcPr>
          <w:p w14:paraId="7C768736">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（2）提供物业仓库一间，存放打扫工具用品；</w:t>
            </w:r>
          </w:p>
        </w:tc>
      </w:tr>
      <w:tr w14:paraId="2352F7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9395" w:type="dxa"/>
            <w:gridSpan w:val="2"/>
            <w:vAlign w:val="center"/>
          </w:tcPr>
          <w:p w14:paraId="6C8EE013">
            <w:pPr>
              <w:widowControl/>
              <w:adjustRightInd w:val="0"/>
              <w:snapToGrid w:val="0"/>
              <w:spacing w:after="200" w:line="480" w:lineRule="exact"/>
              <w:jc w:val="left"/>
              <w:rPr>
                <w:rFonts w:ascii="Times New Roman" w:hAnsi="Times New Roman" w:eastAsia="微软雅黑" w:cs="宋体"/>
                <w:kern w:val="0"/>
                <w:sz w:val="22"/>
                <w:szCs w:val="24"/>
              </w:rPr>
            </w:pPr>
            <w:r>
              <w:rPr>
                <w:rFonts w:hint="eastAsia" w:ascii="Times New Roman" w:hAnsi="Times New Roman" w:eastAsia="微软雅黑" w:cs="宋体"/>
                <w:kern w:val="0"/>
                <w:szCs w:val="24"/>
              </w:rPr>
              <w:t>（3）必要时提供肥皂、洗手液、抽纸等放置在卫生间；</w:t>
            </w:r>
          </w:p>
        </w:tc>
      </w:tr>
    </w:tbl>
    <w:p w14:paraId="2EADCF6B">
      <w:pPr>
        <w:widowControl/>
        <w:adjustRightInd w:val="0"/>
        <w:snapToGrid w:val="0"/>
        <w:spacing w:after="200" w:line="460" w:lineRule="exact"/>
        <w:jc w:val="left"/>
        <w:rPr>
          <w:rFonts w:ascii="宋体" w:hAnsi="宋体" w:eastAsia="微软雅黑" w:cs="方正黑体_GBK"/>
          <w:bCs/>
          <w:color w:val="000000"/>
          <w:kern w:val="0"/>
          <w:sz w:val="22"/>
          <w:szCs w:val="21"/>
        </w:rPr>
      </w:pPr>
      <w:r>
        <w:rPr>
          <w:rFonts w:hint="eastAsia" w:ascii="Times New Roman" w:hAnsi="Times New Roman" w:eastAsia="微软雅黑" w:cs="宋体"/>
          <w:color w:val="000000"/>
          <w:kern w:val="0"/>
          <w:szCs w:val="21"/>
        </w:rPr>
        <w:t>供应商应当承担除以上所列场地、设施、设备、材料外，与物业管理服务有关的其他场地、设施、设备、材料等。</w:t>
      </w:r>
    </w:p>
    <w:p w14:paraId="42AAC85D">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二、物业服务范围</w:t>
      </w:r>
    </w:p>
    <w:p w14:paraId="15B881FC">
      <w:pPr>
        <w:widowControl/>
        <w:adjustRightInd w:val="0"/>
        <w:snapToGrid w:val="0"/>
        <w:spacing w:after="200" w:line="500" w:lineRule="exact"/>
        <w:jc w:val="left"/>
        <w:rPr>
          <w:rFonts w:ascii="宋体" w:hAnsi="宋体" w:eastAsia="微软雅黑" w:cs="方正黑体_GBK"/>
          <w:bCs/>
          <w:color w:val="000000"/>
          <w:kern w:val="0"/>
          <w:sz w:val="24"/>
          <w:szCs w:val="24"/>
        </w:rPr>
      </w:pPr>
      <w:r>
        <w:rPr>
          <w:rFonts w:hint="eastAsia" w:ascii="宋体" w:hAnsi="宋体" w:eastAsia="宋体" w:cs="方正黑体_GBK"/>
          <w:bCs/>
          <w:color w:val="000000"/>
          <w:kern w:val="0"/>
          <w:sz w:val="24"/>
          <w:szCs w:val="24"/>
        </w:rPr>
        <w:t>（一）物业管理（建筑物）</w:t>
      </w:r>
    </w:p>
    <w:tbl>
      <w:tblPr>
        <w:tblStyle w:val="2"/>
        <w:tblW w:w="85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1950"/>
        <w:gridCol w:w="5502"/>
      </w:tblGrid>
      <w:tr w14:paraId="42F8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49" w:type="dxa"/>
            <w:gridSpan w:val="2"/>
            <w:vAlign w:val="center"/>
          </w:tcPr>
          <w:p w14:paraId="2AF3C5CE">
            <w:pPr>
              <w:widowControl/>
              <w:adjustRightInd w:val="0"/>
              <w:snapToGrid w:val="0"/>
              <w:spacing w:after="200" w:line="400" w:lineRule="exact"/>
              <w:jc w:val="center"/>
              <w:rPr>
                <w:rFonts w:ascii="宋体" w:hAnsi="宋体" w:eastAsia="微软雅黑" w:cs="宋体"/>
                <w:b/>
                <w:bCs/>
                <w:color w:val="000000"/>
                <w:kern w:val="0"/>
                <w:sz w:val="22"/>
                <w:szCs w:val="22"/>
              </w:rPr>
            </w:pPr>
            <w:r>
              <w:rPr>
                <w:rFonts w:hint="eastAsia" w:ascii="宋体" w:hAnsi="宋体" w:eastAsia="微软雅黑" w:cs="宋体"/>
                <w:b/>
                <w:bCs/>
                <w:color w:val="000000"/>
                <w:kern w:val="0"/>
                <w:sz w:val="22"/>
                <w:szCs w:val="22"/>
              </w:rPr>
              <w:t>建筑名称</w:t>
            </w:r>
          </w:p>
        </w:tc>
        <w:tc>
          <w:tcPr>
            <w:tcW w:w="5502" w:type="dxa"/>
            <w:vAlign w:val="center"/>
          </w:tcPr>
          <w:p w14:paraId="0A5FEBA3">
            <w:pPr>
              <w:widowControl/>
              <w:adjustRightInd w:val="0"/>
              <w:snapToGrid w:val="0"/>
              <w:spacing w:after="200" w:line="400" w:lineRule="exact"/>
              <w:jc w:val="center"/>
              <w:rPr>
                <w:rFonts w:ascii="宋体" w:hAnsi="宋体" w:eastAsia="微软雅黑" w:cs="宋体"/>
                <w:b/>
                <w:bCs/>
                <w:color w:val="000000"/>
                <w:kern w:val="0"/>
                <w:sz w:val="22"/>
                <w:szCs w:val="22"/>
                <w:u w:val="single"/>
              </w:rPr>
            </w:pPr>
            <w:r>
              <w:rPr>
                <w:rFonts w:hint="eastAsia" w:ascii="宋体" w:hAnsi="宋体" w:eastAsia="微软雅黑" w:cs="宋体"/>
                <w:b/>
                <w:bCs/>
                <w:color w:val="000000"/>
                <w:kern w:val="0"/>
                <w:sz w:val="22"/>
                <w:szCs w:val="22"/>
              </w:rPr>
              <w:t>学生公寓楼、实训基地、教学楼及办公楼</w:t>
            </w:r>
          </w:p>
        </w:tc>
      </w:tr>
      <w:tr w14:paraId="4D354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099" w:type="dxa"/>
            <w:vMerge w:val="restart"/>
            <w:vAlign w:val="center"/>
          </w:tcPr>
          <w:p w14:paraId="35AF1B1E">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总面积</w:t>
            </w:r>
          </w:p>
        </w:tc>
        <w:tc>
          <w:tcPr>
            <w:tcW w:w="1950" w:type="dxa"/>
            <w:vAlign w:val="center"/>
          </w:tcPr>
          <w:p w14:paraId="619B7F2E">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建筑面积（㎡）</w:t>
            </w:r>
          </w:p>
        </w:tc>
        <w:tc>
          <w:tcPr>
            <w:tcW w:w="5502" w:type="dxa"/>
            <w:vAlign w:val="center"/>
          </w:tcPr>
          <w:p w14:paraId="39F89A8D">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u w:val="single"/>
              </w:rPr>
              <w:t>190000</w:t>
            </w:r>
            <w:r>
              <w:rPr>
                <w:rFonts w:hint="eastAsia" w:ascii="Times New Roman" w:hAnsi="Times New Roman" w:eastAsia="微软雅黑" w:cs="宋体"/>
                <w:color w:val="000000"/>
                <w:kern w:val="0"/>
                <w:szCs w:val="22"/>
              </w:rPr>
              <w:t>平方米</w:t>
            </w:r>
          </w:p>
        </w:tc>
      </w:tr>
      <w:tr w14:paraId="0B2AC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Merge w:val="continue"/>
            <w:vAlign w:val="center"/>
          </w:tcPr>
          <w:p w14:paraId="0ADBE507">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950" w:type="dxa"/>
            <w:vAlign w:val="center"/>
          </w:tcPr>
          <w:p w14:paraId="492B675C">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需保洁面积（㎡）</w:t>
            </w:r>
          </w:p>
        </w:tc>
        <w:tc>
          <w:tcPr>
            <w:tcW w:w="5502" w:type="dxa"/>
            <w:vAlign w:val="center"/>
          </w:tcPr>
          <w:p w14:paraId="6A3F784C">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约</w:t>
            </w:r>
            <w:r>
              <w:rPr>
                <w:rFonts w:hint="eastAsia" w:ascii="Times New Roman" w:hAnsi="Times New Roman" w:eastAsia="微软雅黑" w:cs="宋体"/>
                <w:color w:val="000000"/>
                <w:kern w:val="0"/>
                <w:szCs w:val="22"/>
                <w:u w:val="single"/>
              </w:rPr>
              <w:t>90000</w:t>
            </w:r>
            <w:r>
              <w:rPr>
                <w:rFonts w:hint="eastAsia" w:ascii="Times New Roman" w:hAnsi="Times New Roman" w:eastAsia="微软雅黑" w:cs="宋体"/>
                <w:color w:val="000000"/>
                <w:kern w:val="0"/>
                <w:szCs w:val="22"/>
              </w:rPr>
              <w:t>平方米</w:t>
            </w:r>
          </w:p>
        </w:tc>
      </w:tr>
      <w:tr w14:paraId="3F7E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Align w:val="center"/>
          </w:tcPr>
          <w:p w14:paraId="30530E57">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地面</w:t>
            </w:r>
          </w:p>
        </w:tc>
        <w:tc>
          <w:tcPr>
            <w:tcW w:w="1950" w:type="dxa"/>
            <w:vAlign w:val="center"/>
          </w:tcPr>
          <w:p w14:paraId="42BA48C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地面各材质及总面积（㎡）</w:t>
            </w:r>
          </w:p>
        </w:tc>
        <w:tc>
          <w:tcPr>
            <w:tcW w:w="5502" w:type="dxa"/>
            <w:vAlign w:val="center"/>
          </w:tcPr>
          <w:p w14:paraId="2E2D8A6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教学楼卫生间、实训基地公共通道、卫生间、楼梯为石材地面，教学楼负一楼运动区域为PVC悬浮地板，实训基地地面为明环氧地坪、瓷砖地面，体育馆主场地地面为运动地板、走廊通道为瓷砖地面，图书馆、行知楼为瓷砖地面，车棚地面为水泥地面，总面积约</w:t>
            </w:r>
            <w:r>
              <w:rPr>
                <w:rFonts w:hint="eastAsia" w:ascii="Times New Roman" w:hAnsi="Times New Roman" w:eastAsia="微软雅黑" w:cs="宋体"/>
                <w:color w:val="000000"/>
                <w:kern w:val="0"/>
                <w:szCs w:val="22"/>
                <w:u w:val="single"/>
              </w:rPr>
              <w:t>53000</w:t>
            </w:r>
            <w:r>
              <w:rPr>
                <w:rFonts w:hint="eastAsia" w:ascii="Times New Roman" w:hAnsi="Times New Roman" w:eastAsia="微软雅黑" w:cs="宋体"/>
                <w:color w:val="000000"/>
                <w:kern w:val="0"/>
                <w:szCs w:val="22"/>
              </w:rPr>
              <w:t>平方米。</w:t>
            </w:r>
          </w:p>
        </w:tc>
      </w:tr>
      <w:tr w14:paraId="03784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Align w:val="center"/>
          </w:tcPr>
          <w:p w14:paraId="0627FD1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内墙饰面</w:t>
            </w:r>
          </w:p>
        </w:tc>
        <w:tc>
          <w:tcPr>
            <w:tcW w:w="1950" w:type="dxa"/>
            <w:vAlign w:val="center"/>
          </w:tcPr>
          <w:p w14:paraId="6D9CD8FF">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内墙饰面各材质及总面积（㎡）</w:t>
            </w:r>
          </w:p>
        </w:tc>
        <w:tc>
          <w:tcPr>
            <w:tcW w:w="5502" w:type="dxa"/>
            <w:vAlign w:val="center"/>
          </w:tcPr>
          <w:p w14:paraId="7020FBE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建筑内墙饰面（不含教室、办公室内部）主要为乳胶漆总，墙板，瓷砖等，总面积约</w:t>
            </w:r>
            <w:r>
              <w:rPr>
                <w:rFonts w:hint="eastAsia" w:ascii="Times New Roman" w:hAnsi="Times New Roman" w:eastAsia="微软雅黑" w:cs="宋体"/>
                <w:color w:val="000000"/>
                <w:kern w:val="0"/>
                <w:szCs w:val="22"/>
                <w:u w:val="single"/>
              </w:rPr>
              <w:t>30000</w:t>
            </w:r>
            <w:r>
              <w:rPr>
                <w:rFonts w:hint="eastAsia" w:ascii="Times New Roman" w:hAnsi="Times New Roman" w:eastAsia="微软雅黑" w:cs="宋体"/>
                <w:color w:val="000000"/>
                <w:kern w:val="0"/>
                <w:szCs w:val="22"/>
              </w:rPr>
              <w:t>平方米</w:t>
            </w:r>
          </w:p>
        </w:tc>
      </w:tr>
      <w:tr w14:paraId="3166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Merge w:val="restart"/>
            <w:vAlign w:val="center"/>
          </w:tcPr>
          <w:p w14:paraId="5C21929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会议室</w:t>
            </w:r>
          </w:p>
        </w:tc>
        <w:tc>
          <w:tcPr>
            <w:tcW w:w="1950" w:type="dxa"/>
            <w:vAlign w:val="center"/>
          </w:tcPr>
          <w:p w14:paraId="7E07895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室内设施说明</w:t>
            </w:r>
          </w:p>
        </w:tc>
        <w:tc>
          <w:tcPr>
            <w:tcW w:w="5502" w:type="dxa"/>
            <w:vAlign w:val="center"/>
          </w:tcPr>
          <w:p w14:paraId="510D9ABF">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室内设施主要有：会议桌、会议椅、茶水柜、消毒柜、沙发、投影机、话筒及其他音视频设备等。</w:t>
            </w:r>
          </w:p>
        </w:tc>
      </w:tr>
      <w:tr w14:paraId="7001E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Merge w:val="continue"/>
            <w:vAlign w:val="center"/>
          </w:tcPr>
          <w:p w14:paraId="7916C808">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950" w:type="dxa"/>
            <w:vAlign w:val="center"/>
          </w:tcPr>
          <w:p w14:paraId="5A415CDC">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会议室数量（个）及总面积（㎡）</w:t>
            </w:r>
          </w:p>
        </w:tc>
        <w:tc>
          <w:tcPr>
            <w:tcW w:w="5502" w:type="dxa"/>
            <w:vAlign w:val="center"/>
          </w:tcPr>
          <w:p w14:paraId="2264C0C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会议室总数量</w:t>
            </w:r>
            <w:r>
              <w:rPr>
                <w:rFonts w:hint="eastAsia" w:ascii="Times New Roman" w:hAnsi="Times New Roman" w:eastAsia="微软雅黑" w:cs="宋体"/>
                <w:color w:val="000000"/>
                <w:kern w:val="0"/>
                <w:szCs w:val="22"/>
                <w:u w:val="single"/>
              </w:rPr>
              <w:t>11</w:t>
            </w:r>
            <w:r>
              <w:rPr>
                <w:rFonts w:hint="eastAsia" w:ascii="Times New Roman" w:hAnsi="Times New Roman" w:eastAsia="微软雅黑" w:cs="宋体"/>
                <w:color w:val="000000"/>
                <w:kern w:val="0"/>
                <w:szCs w:val="22"/>
              </w:rPr>
              <w:t>个，其中报告厅</w:t>
            </w:r>
            <w:r>
              <w:rPr>
                <w:rFonts w:hint="eastAsia" w:ascii="Times New Roman" w:hAnsi="Times New Roman" w:eastAsia="微软雅黑" w:cs="宋体"/>
                <w:color w:val="000000"/>
                <w:kern w:val="0"/>
                <w:szCs w:val="22"/>
                <w:u w:val="single"/>
              </w:rPr>
              <w:t>5</w:t>
            </w:r>
            <w:r>
              <w:rPr>
                <w:rFonts w:hint="eastAsia" w:ascii="Times New Roman" w:hAnsi="Times New Roman" w:eastAsia="微软雅黑" w:cs="宋体"/>
                <w:color w:val="000000"/>
                <w:kern w:val="0"/>
                <w:szCs w:val="22"/>
              </w:rPr>
              <w:t>个，贵宾室</w:t>
            </w:r>
            <w:r>
              <w:rPr>
                <w:rFonts w:hint="eastAsia" w:ascii="Times New Roman" w:hAnsi="Times New Roman" w:eastAsia="微软雅黑" w:cs="宋体"/>
                <w:color w:val="000000"/>
                <w:kern w:val="0"/>
                <w:szCs w:val="22"/>
                <w:u w:val="single"/>
              </w:rPr>
              <w:t>3</w:t>
            </w:r>
            <w:r>
              <w:rPr>
                <w:rFonts w:hint="eastAsia" w:ascii="Times New Roman" w:hAnsi="Times New Roman" w:eastAsia="微软雅黑" w:cs="宋体"/>
                <w:color w:val="000000"/>
                <w:kern w:val="0"/>
                <w:szCs w:val="22"/>
              </w:rPr>
              <w:t>个，大会议室</w:t>
            </w:r>
            <w:r>
              <w:rPr>
                <w:rFonts w:hint="eastAsia" w:ascii="Times New Roman" w:hAnsi="Times New Roman" w:eastAsia="微软雅黑" w:cs="宋体"/>
                <w:color w:val="000000"/>
                <w:kern w:val="0"/>
                <w:szCs w:val="22"/>
                <w:u w:val="single"/>
              </w:rPr>
              <w:t>1</w:t>
            </w:r>
            <w:r>
              <w:rPr>
                <w:rFonts w:hint="eastAsia" w:ascii="Times New Roman" w:hAnsi="Times New Roman" w:eastAsia="微软雅黑" w:cs="宋体"/>
                <w:color w:val="000000"/>
                <w:kern w:val="0"/>
                <w:szCs w:val="22"/>
              </w:rPr>
              <w:t>个，小会议室</w:t>
            </w:r>
            <w:r>
              <w:rPr>
                <w:rFonts w:hint="eastAsia" w:ascii="Times New Roman" w:hAnsi="Times New Roman" w:eastAsia="微软雅黑" w:cs="宋体"/>
                <w:color w:val="000000"/>
                <w:kern w:val="0"/>
                <w:szCs w:val="22"/>
                <w:u w:val="single"/>
              </w:rPr>
              <w:t>2</w:t>
            </w:r>
            <w:r>
              <w:rPr>
                <w:rFonts w:hint="eastAsia" w:ascii="Times New Roman" w:hAnsi="Times New Roman" w:eastAsia="微软雅黑" w:cs="宋体"/>
                <w:color w:val="000000"/>
                <w:kern w:val="0"/>
                <w:szCs w:val="22"/>
              </w:rPr>
              <w:t>个，总面积约</w:t>
            </w:r>
            <w:r>
              <w:rPr>
                <w:rFonts w:hint="eastAsia" w:ascii="Times New Roman" w:hAnsi="Times New Roman" w:eastAsia="微软雅黑" w:cs="宋体"/>
                <w:color w:val="000000"/>
                <w:kern w:val="0"/>
                <w:szCs w:val="22"/>
                <w:u w:val="single"/>
              </w:rPr>
              <w:t>2000</w:t>
            </w:r>
            <w:r>
              <w:rPr>
                <w:rFonts w:hint="eastAsia" w:ascii="Times New Roman" w:hAnsi="Times New Roman" w:eastAsia="微软雅黑" w:cs="宋体"/>
                <w:color w:val="000000"/>
                <w:kern w:val="0"/>
                <w:szCs w:val="22"/>
              </w:rPr>
              <w:t>平方米。</w:t>
            </w:r>
          </w:p>
        </w:tc>
      </w:tr>
      <w:tr w14:paraId="1DB38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Merge w:val="restart"/>
            <w:vAlign w:val="center"/>
          </w:tcPr>
          <w:p w14:paraId="10E119B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活动室</w:t>
            </w:r>
          </w:p>
        </w:tc>
        <w:tc>
          <w:tcPr>
            <w:tcW w:w="1950" w:type="dxa"/>
            <w:vAlign w:val="center"/>
          </w:tcPr>
          <w:p w14:paraId="18F56995">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室内设施说明</w:t>
            </w:r>
          </w:p>
        </w:tc>
        <w:tc>
          <w:tcPr>
            <w:tcW w:w="5502" w:type="dxa"/>
            <w:vAlign w:val="center"/>
          </w:tcPr>
          <w:p w14:paraId="58690EBD">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列明室内设施情况：乒乓球桌、健身器械、地胶、羽毛球网等运动设施。</w:t>
            </w:r>
          </w:p>
        </w:tc>
      </w:tr>
      <w:tr w14:paraId="0412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Merge w:val="continue"/>
            <w:vAlign w:val="center"/>
          </w:tcPr>
          <w:p w14:paraId="7589FFEB">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950" w:type="dxa"/>
            <w:vAlign w:val="center"/>
          </w:tcPr>
          <w:p w14:paraId="26103F35">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活动室数量（个）及总面积（㎡）</w:t>
            </w:r>
          </w:p>
        </w:tc>
        <w:tc>
          <w:tcPr>
            <w:tcW w:w="5502" w:type="dxa"/>
            <w:vAlign w:val="center"/>
          </w:tcPr>
          <w:p w14:paraId="38C7D8B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活动室</w:t>
            </w:r>
            <w:r>
              <w:rPr>
                <w:rFonts w:hint="eastAsia" w:ascii="Times New Roman" w:hAnsi="Times New Roman" w:eastAsia="微软雅黑" w:cs="宋体"/>
                <w:color w:val="000000"/>
                <w:kern w:val="0"/>
                <w:szCs w:val="22"/>
                <w:u w:val="single"/>
              </w:rPr>
              <w:t>3</w:t>
            </w:r>
            <w:r>
              <w:rPr>
                <w:rFonts w:hint="eastAsia" w:ascii="Times New Roman" w:hAnsi="Times New Roman" w:eastAsia="微软雅黑" w:cs="宋体"/>
                <w:color w:val="000000"/>
                <w:kern w:val="0"/>
                <w:szCs w:val="22"/>
              </w:rPr>
              <w:t>个，总面积约</w:t>
            </w:r>
            <w:r>
              <w:rPr>
                <w:rFonts w:hint="eastAsia" w:ascii="Times New Roman" w:hAnsi="Times New Roman" w:eastAsia="微软雅黑" w:cs="宋体"/>
                <w:color w:val="000000"/>
                <w:kern w:val="0"/>
                <w:szCs w:val="22"/>
                <w:u w:val="single"/>
              </w:rPr>
              <w:t>3200</w:t>
            </w:r>
            <w:r>
              <w:rPr>
                <w:rFonts w:hint="eastAsia" w:ascii="Times New Roman" w:hAnsi="Times New Roman" w:eastAsia="微软雅黑" w:cs="宋体"/>
                <w:color w:val="000000"/>
                <w:kern w:val="0"/>
                <w:szCs w:val="22"/>
              </w:rPr>
              <w:t>平方米。</w:t>
            </w:r>
          </w:p>
        </w:tc>
      </w:tr>
      <w:tr w14:paraId="6B154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9" w:type="dxa"/>
            <w:vAlign w:val="center"/>
          </w:tcPr>
          <w:p w14:paraId="3045F7D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卫生间</w:t>
            </w:r>
          </w:p>
        </w:tc>
        <w:tc>
          <w:tcPr>
            <w:tcW w:w="1950" w:type="dxa"/>
            <w:vAlign w:val="center"/>
          </w:tcPr>
          <w:p w14:paraId="712E91B3">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数量</w:t>
            </w:r>
          </w:p>
        </w:tc>
        <w:tc>
          <w:tcPr>
            <w:tcW w:w="5502" w:type="dxa"/>
            <w:vAlign w:val="center"/>
          </w:tcPr>
          <w:p w14:paraId="2FF69B5C">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卫生间190个，卫生打扫，管道疏通。</w:t>
            </w:r>
          </w:p>
        </w:tc>
      </w:tr>
      <w:tr w14:paraId="706E5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9" w:type="dxa"/>
            <w:vAlign w:val="center"/>
          </w:tcPr>
          <w:p w14:paraId="3256518E">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垃圾存放点</w:t>
            </w:r>
          </w:p>
        </w:tc>
        <w:tc>
          <w:tcPr>
            <w:tcW w:w="1950" w:type="dxa"/>
            <w:vAlign w:val="center"/>
          </w:tcPr>
          <w:p w14:paraId="221245F7">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各垃圾存放点位置、面积（㎡）及数量（个）</w:t>
            </w:r>
          </w:p>
        </w:tc>
        <w:tc>
          <w:tcPr>
            <w:tcW w:w="5502" w:type="dxa"/>
            <w:vAlign w:val="center"/>
          </w:tcPr>
          <w:p w14:paraId="23086C96">
            <w:pPr>
              <w:widowControl/>
              <w:adjustRightInd w:val="0"/>
              <w:snapToGrid w:val="0"/>
              <w:spacing w:after="200" w:line="360" w:lineRule="exact"/>
              <w:ind w:left="210" w:hanging="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教学楼、实训基地、公寓楼各有一个垃圾集中存放点</w:t>
            </w:r>
          </w:p>
        </w:tc>
      </w:tr>
      <w:tr w14:paraId="06ECA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Merge w:val="restart"/>
            <w:vAlign w:val="center"/>
          </w:tcPr>
          <w:p w14:paraId="71C73C3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设施设备</w:t>
            </w:r>
          </w:p>
        </w:tc>
        <w:tc>
          <w:tcPr>
            <w:tcW w:w="1950" w:type="dxa"/>
            <w:vAlign w:val="center"/>
          </w:tcPr>
          <w:p w14:paraId="2100E75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电梯系统</w:t>
            </w:r>
          </w:p>
        </w:tc>
        <w:tc>
          <w:tcPr>
            <w:tcW w:w="5502" w:type="dxa"/>
            <w:vAlign w:val="center"/>
          </w:tcPr>
          <w:p w14:paraId="0860791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餐饮、实训基地、图文信息楼楼内共有7台电梯。</w:t>
            </w:r>
          </w:p>
        </w:tc>
      </w:tr>
      <w:tr w14:paraId="1EAAA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099" w:type="dxa"/>
            <w:vMerge w:val="continue"/>
            <w:vAlign w:val="center"/>
          </w:tcPr>
          <w:p w14:paraId="1760751D">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1950" w:type="dxa"/>
            <w:vAlign w:val="center"/>
          </w:tcPr>
          <w:p w14:paraId="21F510B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饮水机</w:t>
            </w:r>
          </w:p>
        </w:tc>
        <w:tc>
          <w:tcPr>
            <w:tcW w:w="5502" w:type="dxa"/>
            <w:vAlign w:val="center"/>
          </w:tcPr>
          <w:p w14:paraId="65CDCDC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笃行楼、敏行楼每层设有1台饮用水终端机</w:t>
            </w:r>
          </w:p>
        </w:tc>
      </w:tr>
    </w:tbl>
    <w:p w14:paraId="747BF286">
      <w:pPr>
        <w:widowControl/>
        <w:adjustRightInd w:val="0"/>
        <w:snapToGrid w:val="0"/>
        <w:spacing w:after="200"/>
        <w:jc w:val="left"/>
        <w:rPr>
          <w:rFonts w:ascii="宋体" w:hAnsi="宋体" w:eastAsia="微软雅黑" w:cs="宋体"/>
          <w:color w:val="000000"/>
          <w:kern w:val="0"/>
          <w:sz w:val="28"/>
          <w:szCs w:val="28"/>
        </w:rPr>
      </w:pPr>
      <w:r>
        <w:rPr>
          <w:rFonts w:hint="eastAsia" w:ascii="宋体" w:hAnsi="宋体" w:eastAsia="微软雅黑" w:cs="方正黑体_GBK"/>
          <w:bCs/>
          <w:color w:val="000000"/>
          <w:kern w:val="0"/>
          <w:sz w:val="24"/>
          <w:szCs w:val="24"/>
        </w:rPr>
        <w:t>（二）物业管理（室外）</w:t>
      </w:r>
    </w:p>
    <w:tbl>
      <w:tblPr>
        <w:tblStyle w:val="2"/>
        <w:tblpPr w:leftFromText="180" w:rightFromText="180" w:vertAnchor="text" w:horzAnchor="page" w:tblpX="1686" w:tblpY="172"/>
        <w:tblW w:w="8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3"/>
        <w:gridCol w:w="6025"/>
      </w:tblGrid>
      <w:tr w14:paraId="3B0E4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603" w:type="dxa"/>
            <w:vAlign w:val="center"/>
          </w:tcPr>
          <w:p w14:paraId="1A452D48">
            <w:pPr>
              <w:widowControl/>
              <w:adjustRightInd w:val="0"/>
              <w:snapToGrid w:val="0"/>
              <w:spacing w:after="200"/>
              <w:jc w:val="center"/>
              <w:rPr>
                <w:rFonts w:ascii="Times New Roman" w:hAnsi="Times New Roman" w:eastAsia="微软雅黑" w:cs="宋体"/>
                <w:b/>
                <w:color w:val="000000"/>
                <w:kern w:val="0"/>
                <w:sz w:val="22"/>
                <w:szCs w:val="22"/>
              </w:rPr>
            </w:pPr>
            <w:r>
              <w:rPr>
                <w:rFonts w:hint="eastAsia" w:ascii="Times New Roman" w:hAnsi="Times New Roman" w:eastAsia="宋体" w:cs="宋体"/>
                <w:b/>
                <w:color w:val="000000"/>
                <w:kern w:val="0"/>
                <w:szCs w:val="22"/>
              </w:rPr>
              <w:t>名称</w:t>
            </w:r>
          </w:p>
        </w:tc>
        <w:tc>
          <w:tcPr>
            <w:tcW w:w="6025" w:type="dxa"/>
            <w:vAlign w:val="center"/>
          </w:tcPr>
          <w:p w14:paraId="77BCEB4C">
            <w:pPr>
              <w:widowControl/>
              <w:adjustRightInd w:val="0"/>
              <w:snapToGrid w:val="0"/>
              <w:spacing w:after="200"/>
              <w:jc w:val="center"/>
              <w:rPr>
                <w:rFonts w:ascii="Times New Roman" w:hAnsi="Times New Roman" w:eastAsia="微软雅黑" w:cs="宋体"/>
                <w:b/>
                <w:color w:val="000000"/>
                <w:kern w:val="0"/>
                <w:sz w:val="22"/>
                <w:szCs w:val="22"/>
              </w:rPr>
            </w:pPr>
            <w:r>
              <w:rPr>
                <w:rFonts w:hint="eastAsia" w:ascii="Times New Roman" w:hAnsi="Times New Roman" w:eastAsia="宋体" w:cs="宋体"/>
                <w:b/>
                <w:color w:val="000000"/>
                <w:kern w:val="0"/>
                <w:szCs w:val="22"/>
              </w:rPr>
              <w:t>明细</w:t>
            </w:r>
          </w:p>
        </w:tc>
      </w:tr>
      <w:tr w14:paraId="05AB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03" w:type="dxa"/>
            <w:vAlign w:val="bottom"/>
          </w:tcPr>
          <w:p w14:paraId="514AC914">
            <w:pPr>
              <w:widowControl/>
              <w:adjustRightInd w:val="0"/>
              <w:snapToGrid w:val="0"/>
              <w:spacing w:after="200"/>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室外面积</w:t>
            </w:r>
          </w:p>
        </w:tc>
        <w:tc>
          <w:tcPr>
            <w:tcW w:w="6025" w:type="dxa"/>
            <w:vAlign w:val="bottom"/>
          </w:tcPr>
          <w:p w14:paraId="27AA0587">
            <w:pPr>
              <w:widowControl/>
              <w:adjustRightInd w:val="0"/>
              <w:snapToGrid w:val="0"/>
              <w:spacing w:after="200"/>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总面积</w:t>
            </w:r>
            <w:r>
              <w:rPr>
                <w:rFonts w:hint="eastAsia" w:ascii="Times New Roman" w:hAnsi="Times New Roman" w:eastAsia="宋体" w:cs="宋体"/>
                <w:color w:val="000000"/>
                <w:kern w:val="0"/>
                <w:szCs w:val="22"/>
                <w:u w:val="single"/>
              </w:rPr>
              <w:t>约300000</w:t>
            </w:r>
            <w:r>
              <w:rPr>
                <w:rFonts w:hint="eastAsia" w:ascii="Times New Roman" w:hAnsi="Times New Roman" w:eastAsia="宋体" w:cs="宋体"/>
                <w:color w:val="000000"/>
                <w:kern w:val="0"/>
                <w:szCs w:val="22"/>
              </w:rPr>
              <w:t>平方米</w:t>
            </w:r>
          </w:p>
        </w:tc>
      </w:tr>
      <w:tr w14:paraId="16C5A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03" w:type="dxa"/>
            <w:vAlign w:val="bottom"/>
          </w:tcPr>
          <w:p w14:paraId="30D5331F">
            <w:pPr>
              <w:widowControl/>
              <w:adjustRightInd w:val="0"/>
              <w:snapToGrid w:val="0"/>
              <w:spacing w:after="200"/>
              <w:jc w:val="left"/>
              <w:rPr>
                <w:rFonts w:ascii="Times New Roman" w:hAnsi="Times New Roman" w:eastAsia="宋体" w:cs="宋体"/>
                <w:color w:val="000000"/>
                <w:kern w:val="0"/>
                <w:szCs w:val="22"/>
              </w:rPr>
            </w:pPr>
            <w:r>
              <w:rPr>
                <w:rFonts w:hint="eastAsia" w:ascii="Times New Roman" w:hAnsi="Times New Roman" w:eastAsia="宋体" w:cs="宋体"/>
                <w:color w:val="000000"/>
                <w:kern w:val="0"/>
                <w:szCs w:val="22"/>
              </w:rPr>
              <w:t>管道</w:t>
            </w:r>
          </w:p>
        </w:tc>
        <w:tc>
          <w:tcPr>
            <w:tcW w:w="6025" w:type="dxa"/>
            <w:vAlign w:val="bottom"/>
          </w:tcPr>
          <w:p w14:paraId="4B384BF2">
            <w:pPr>
              <w:widowControl/>
              <w:adjustRightInd w:val="0"/>
              <w:snapToGrid w:val="0"/>
              <w:spacing w:after="200"/>
              <w:jc w:val="left"/>
              <w:rPr>
                <w:rFonts w:ascii="Times New Roman" w:hAnsi="Times New Roman" w:eastAsia="宋体" w:cs="宋体"/>
                <w:color w:val="000000"/>
                <w:kern w:val="0"/>
                <w:szCs w:val="22"/>
              </w:rPr>
            </w:pPr>
            <w:r>
              <w:rPr>
                <w:rFonts w:hint="eastAsia" w:ascii="Times New Roman" w:hAnsi="Times New Roman" w:eastAsia="宋体" w:cs="宋体"/>
                <w:color w:val="000000"/>
                <w:kern w:val="0"/>
                <w:szCs w:val="22"/>
              </w:rPr>
              <w:t>校内污水、雨水管道及化肥池疏通与清理。</w:t>
            </w:r>
          </w:p>
        </w:tc>
      </w:tr>
      <w:tr w14:paraId="65B36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03" w:type="dxa"/>
            <w:vAlign w:val="bottom"/>
          </w:tcPr>
          <w:p w14:paraId="62F98625">
            <w:pPr>
              <w:widowControl/>
              <w:adjustRightInd w:val="0"/>
              <w:snapToGrid w:val="0"/>
              <w:spacing w:after="200"/>
              <w:jc w:val="left"/>
              <w:rPr>
                <w:rFonts w:ascii="Times New Roman" w:hAnsi="Times New Roman" w:eastAsia="宋体" w:cs="宋体"/>
                <w:color w:val="000000"/>
                <w:kern w:val="0"/>
                <w:szCs w:val="22"/>
              </w:rPr>
            </w:pPr>
            <w:r>
              <w:rPr>
                <w:rFonts w:hint="eastAsia" w:ascii="Times New Roman" w:hAnsi="Times New Roman" w:eastAsia="宋体" w:cs="宋体"/>
                <w:color w:val="000000"/>
                <w:kern w:val="0"/>
                <w:szCs w:val="22"/>
              </w:rPr>
              <w:t>楼面</w:t>
            </w:r>
          </w:p>
        </w:tc>
        <w:tc>
          <w:tcPr>
            <w:tcW w:w="6025" w:type="dxa"/>
            <w:vAlign w:val="bottom"/>
          </w:tcPr>
          <w:p w14:paraId="40DCDF41">
            <w:pPr>
              <w:widowControl/>
              <w:adjustRightInd w:val="0"/>
              <w:snapToGrid w:val="0"/>
              <w:spacing w:after="200"/>
              <w:jc w:val="left"/>
              <w:rPr>
                <w:rFonts w:ascii="Times New Roman" w:hAnsi="Times New Roman" w:eastAsia="宋体" w:cs="宋体"/>
                <w:color w:val="000000"/>
                <w:kern w:val="0"/>
                <w:szCs w:val="22"/>
              </w:rPr>
            </w:pPr>
            <w:r>
              <w:rPr>
                <w:rFonts w:hint="eastAsia" w:ascii="Times New Roman" w:hAnsi="Times New Roman" w:eastAsia="宋体" w:cs="宋体"/>
                <w:color w:val="000000"/>
                <w:kern w:val="0"/>
                <w:szCs w:val="22"/>
              </w:rPr>
              <w:t>校内共有19栋楼，楼面杂物清理。</w:t>
            </w:r>
          </w:p>
        </w:tc>
      </w:tr>
      <w:tr w14:paraId="3205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03" w:type="dxa"/>
            <w:vAlign w:val="center"/>
          </w:tcPr>
          <w:p w14:paraId="69B03995">
            <w:pPr>
              <w:widowControl/>
              <w:adjustRightInd w:val="0"/>
              <w:snapToGrid w:val="0"/>
              <w:spacing w:after="200"/>
              <w:jc w:val="left"/>
              <w:rPr>
                <w:rFonts w:ascii="Times New Roman" w:hAnsi="Times New Roman" w:eastAsia="宋体" w:cs="宋体"/>
                <w:color w:val="000000"/>
                <w:kern w:val="0"/>
                <w:szCs w:val="22"/>
              </w:rPr>
            </w:pPr>
            <w:r>
              <w:rPr>
                <w:rFonts w:hint="eastAsia" w:ascii="Times New Roman" w:hAnsi="Times New Roman" w:eastAsia="宋体" w:cs="宋体"/>
                <w:color w:val="000000"/>
                <w:kern w:val="0"/>
                <w:szCs w:val="22"/>
              </w:rPr>
              <w:t>人工湖、校内公共区域垃圾桶（房）、果壳箱</w:t>
            </w:r>
          </w:p>
        </w:tc>
        <w:tc>
          <w:tcPr>
            <w:tcW w:w="6025" w:type="dxa"/>
            <w:vAlign w:val="center"/>
          </w:tcPr>
          <w:p w14:paraId="1E5D0FC3">
            <w:pPr>
              <w:widowControl/>
              <w:adjustRightInd w:val="0"/>
              <w:snapToGrid w:val="0"/>
              <w:spacing w:after="200"/>
              <w:jc w:val="left"/>
              <w:rPr>
                <w:rFonts w:ascii="Times New Roman" w:hAnsi="Times New Roman" w:eastAsia="宋体" w:cs="宋体"/>
                <w:color w:val="000000"/>
                <w:kern w:val="0"/>
                <w:szCs w:val="22"/>
              </w:rPr>
            </w:pPr>
            <w:r>
              <w:rPr>
                <w:rFonts w:hint="eastAsia" w:ascii="Times New Roman" w:hAnsi="Times New Roman" w:eastAsia="宋体" w:cs="宋体"/>
                <w:color w:val="000000"/>
                <w:kern w:val="0"/>
                <w:szCs w:val="22"/>
              </w:rPr>
              <w:t>水面保洁及垃圾桶（房）、果壳箱清理与保洁。</w:t>
            </w:r>
          </w:p>
        </w:tc>
      </w:tr>
    </w:tbl>
    <w:p w14:paraId="4AD5F463">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三、物业管理服务内容及标准</w:t>
      </w:r>
    </w:p>
    <w:p w14:paraId="7D5C974F">
      <w:pPr>
        <w:keepNext/>
        <w:keepLines/>
        <w:spacing w:line="360" w:lineRule="auto"/>
        <w:outlineLvl w:val="2"/>
        <w:rPr>
          <w:rFonts w:ascii="宋体" w:hAnsi="宋体" w:eastAsia="宋体" w:cs="宋体"/>
          <w:b/>
          <w:bCs/>
          <w:color w:val="000000"/>
          <w:kern w:val="0"/>
          <w:sz w:val="24"/>
          <w:szCs w:val="24"/>
        </w:rPr>
      </w:pPr>
      <w:bookmarkStart w:id="0" w:name="_Toc26156"/>
      <w:bookmarkStart w:id="1" w:name="_Toc26485"/>
      <w:bookmarkStart w:id="2" w:name="_Toc10498"/>
      <w:r>
        <w:rPr>
          <w:rFonts w:hint="eastAsia" w:ascii="宋体" w:hAnsi="宋体" w:eastAsia="宋体" w:cs="宋体"/>
          <w:b/>
          <w:bCs/>
          <w:color w:val="000000"/>
          <w:kern w:val="0"/>
          <w:sz w:val="24"/>
          <w:szCs w:val="24"/>
        </w:rPr>
        <w:t>3.</w:t>
      </w:r>
      <w:bookmarkEnd w:id="0"/>
      <w:bookmarkEnd w:id="1"/>
      <w:bookmarkEnd w:id="2"/>
      <w:r>
        <w:rPr>
          <w:rFonts w:hint="eastAsia" w:ascii="宋体" w:hAnsi="宋体" w:eastAsia="宋体" w:cs="宋体"/>
          <w:b/>
          <w:bCs/>
          <w:color w:val="000000"/>
          <w:kern w:val="0"/>
          <w:sz w:val="24"/>
          <w:szCs w:val="24"/>
        </w:rPr>
        <w:t>1基本服务</w:t>
      </w:r>
    </w:p>
    <w:tbl>
      <w:tblPr>
        <w:tblStyle w:val="2"/>
        <w:tblW w:w="8566"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552"/>
        <w:gridCol w:w="6251"/>
      </w:tblGrid>
      <w:tr w14:paraId="1A47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3" w:type="dxa"/>
            <w:vAlign w:val="center"/>
          </w:tcPr>
          <w:p w14:paraId="03A4447E">
            <w:pPr>
              <w:widowControl/>
              <w:adjustRightInd w:val="0"/>
              <w:snapToGrid w:val="0"/>
              <w:spacing w:after="200" w:line="360" w:lineRule="exact"/>
              <w:jc w:val="center"/>
              <w:rPr>
                <w:rFonts w:ascii="Times New Roman" w:hAnsi="Times New Roman" w:eastAsia="微软雅黑" w:cs="宋体"/>
                <w:b/>
                <w:bCs/>
                <w:color w:val="000000"/>
                <w:kern w:val="0"/>
                <w:sz w:val="22"/>
                <w:szCs w:val="22"/>
              </w:rPr>
            </w:pPr>
            <w:r>
              <w:rPr>
                <w:rFonts w:hint="eastAsia" w:ascii="Times New Roman" w:hAnsi="Times New Roman" w:eastAsia="微软雅黑" w:cs="宋体"/>
                <w:b/>
                <w:bCs/>
                <w:color w:val="000000"/>
                <w:kern w:val="0"/>
                <w:szCs w:val="22"/>
              </w:rPr>
              <w:t>序号</w:t>
            </w:r>
          </w:p>
        </w:tc>
        <w:tc>
          <w:tcPr>
            <w:tcW w:w="1552" w:type="dxa"/>
            <w:vAlign w:val="center"/>
          </w:tcPr>
          <w:p w14:paraId="29710C56">
            <w:pPr>
              <w:widowControl/>
              <w:adjustRightInd w:val="0"/>
              <w:snapToGrid w:val="0"/>
              <w:spacing w:after="200" w:line="360" w:lineRule="exact"/>
              <w:jc w:val="center"/>
              <w:rPr>
                <w:rFonts w:ascii="Times New Roman" w:hAnsi="Times New Roman" w:eastAsia="微软雅黑" w:cs="宋体"/>
                <w:b/>
                <w:bCs/>
                <w:color w:val="000000"/>
                <w:kern w:val="0"/>
                <w:sz w:val="22"/>
                <w:szCs w:val="22"/>
              </w:rPr>
            </w:pPr>
            <w:r>
              <w:rPr>
                <w:rFonts w:hint="eastAsia" w:ascii="Times New Roman" w:hAnsi="Times New Roman" w:eastAsia="微软雅黑" w:cs="宋体"/>
                <w:b/>
                <w:bCs/>
                <w:color w:val="000000"/>
                <w:kern w:val="0"/>
                <w:szCs w:val="22"/>
              </w:rPr>
              <w:t>服务内容</w:t>
            </w:r>
          </w:p>
        </w:tc>
        <w:tc>
          <w:tcPr>
            <w:tcW w:w="6251" w:type="dxa"/>
            <w:vAlign w:val="center"/>
          </w:tcPr>
          <w:p w14:paraId="4E850AB8">
            <w:pPr>
              <w:widowControl/>
              <w:adjustRightInd w:val="0"/>
              <w:snapToGrid w:val="0"/>
              <w:spacing w:after="200" w:line="360" w:lineRule="exact"/>
              <w:jc w:val="center"/>
              <w:rPr>
                <w:rFonts w:ascii="Times New Roman" w:hAnsi="Times New Roman" w:eastAsia="微软雅黑" w:cs="宋体"/>
                <w:b/>
                <w:bCs/>
                <w:color w:val="000000"/>
                <w:kern w:val="0"/>
                <w:sz w:val="22"/>
                <w:szCs w:val="22"/>
              </w:rPr>
            </w:pPr>
            <w:r>
              <w:rPr>
                <w:rFonts w:hint="eastAsia" w:ascii="Times New Roman" w:hAnsi="Times New Roman" w:eastAsia="微软雅黑" w:cs="宋体"/>
                <w:b/>
                <w:bCs/>
                <w:color w:val="000000"/>
                <w:kern w:val="0"/>
                <w:szCs w:val="22"/>
              </w:rPr>
              <w:t>服务标准</w:t>
            </w:r>
          </w:p>
        </w:tc>
      </w:tr>
      <w:tr w14:paraId="69A76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restart"/>
            <w:vAlign w:val="center"/>
          </w:tcPr>
          <w:p w14:paraId="7136D351">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w:t>
            </w:r>
          </w:p>
        </w:tc>
        <w:tc>
          <w:tcPr>
            <w:tcW w:w="1552" w:type="dxa"/>
            <w:vMerge w:val="restart"/>
            <w:vAlign w:val="center"/>
          </w:tcPr>
          <w:p w14:paraId="30BAADC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目标与责任</w:t>
            </w:r>
          </w:p>
        </w:tc>
        <w:tc>
          <w:tcPr>
            <w:tcW w:w="6251" w:type="dxa"/>
            <w:vAlign w:val="center"/>
          </w:tcPr>
          <w:p w14:paraId="1AC46A0C">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（1）结合采购人要求及物业服务实际情况，制定年度管理目标，明确责任分工，并制定配套实施方案。</w:t>
            </w:r>
          </w:p>
        </w:tc>
      </w:tr>
      <w:tr w14:paraId="6D5D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601683DB">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2508751F">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38C4DE5B">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（2）配合采购人各类重大活动现场保洁、秩序维护、会务保障等。</w:t>
            </w:r>
          </w:p>
        </w:tc>
      </w:tr>
      <w:tr w14:paraId="2BF2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restart"/>
            <w:vAlign w:val="center"/>
          </w:tcPr>
          <w:p w14:paraId="75FA0065">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w:t>
            </w:r>
          </w:p>
        </w:tc>
        <w:tc>
          <w:tcPr>
            <w:tcW w:w="1552" w:type="dxa"/>
            <w:vMerge w:val="restart"/>
            <w:vAlign w:val="center"/>
          </w:tcPr>
          <w:p w14:paraId="5A6E74C3">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服务人员要求</w:t>
            </w:r>
          </w:p>
        </w:tc>
        <w:tc>
          <w:tcPr>
            <w:tcW w:w="6251" w:type="dxa"/>
            <w:vAlign w:val="center"/>
          </w:tcPr>
          <w:p w14:paraId="123980B5">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（1）每季度至少开展1次岗位技能、职业素质、服务知识、客户文化、绿色节能环保等教育培训，并进行适当形式的考核。</w:t>
            </w:r>
          </w:p>
        </w:tc>
      </w:tr>
      <w:tr w14:paraId="7DA8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10C5BD1E">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4388466A">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0447700D">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（2）根据采购人要求对服务人员进行从业资格审查，审查结果向采购人报备。</w:t>
            </w:r>
          </w:p>
        </w:tc>
      </w:tr>
      <w:tr w14:paraId="78720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0DF8E1BC">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5BC79377">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3BC06B06">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（3）</w:t>
            </w:r>
            <w:r>
              <w:rPr>
                <w:rFonts w:hint="eastAsia" w:ascii="Times New Roman" w:hAnsi="Times New Roman" w:eastAsia="微软雅黑" w:cs="宋体"/>
                <w:bCs/>
                <w:color w:val="000000"/>
                <w:kern w:val="0"/>
                <w:szCs w:val="22"/>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59D6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3F10C318">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2E77541B">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39F17C18">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（4）</w:t>
            </w:r>
            <w:r>
              <w:rPr>
                <w:rFonts w:hint="eastAsia" w:ascii="Times New Roman" w:hAnsi="Times New Roman" w:eastAsia="微软雅黑" w:cs="宋体"/>
                <w:bCs/>
                <w:color w:val="000000"/>
                <w:kern w:val="0"/>
                <w:szCs w:val="22"/>
              </w:rPr>
              <w:t>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14:paraId="7C831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5A3316D1">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0A1EF3B9">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607063CD">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（5）着装分类统一，佩戴标识。仪容整洁、姿态端正、举止文明。用语文明礼貌，态度温和耐心。</w:t>
            </w:r>
          </w:p>
        </w:tc>
      </w:tr>
      <w:tr w14:paraId="4A1E9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restart"/>
            <w:vAlign w:val="center"/>
          </w:tcPr>
          <w:p w14:paraId="5B1B26AE">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3</w:t>
            </w:r>
          </w:p>
        </w:tc>
        <w:tc>
          <w:tcPr>
            <w:tcW w:w="1552" w:type="dxa"/>
            <w:vMerge w:val="restart"/>
            <w:vAlign w:val="center"/>
          </w:tcPr>
          <w:p w14:paraId="2404CB5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保密和思想政治教育</w:t>
            </w:r>
          </w:p>
        </w:tc>
        <w:tc>
          <w:tcPr>
            <w:tcW w:w="6251" w:type="dxa"/>
            <w:vAlign w:val="center"/>
          </w:tcPr>
          <w:p w14:paraId="29099640">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（1）建立保密管理制度。制度内容应当包括但不限于：①明确重点要害岗位保密职责。②对涉密工作岗位的保密要求。</w:t>
            </w:r>
          </w:p>
        </w:tc>
      </w:tr>
      <w:tr w14:paraId="7E42A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00301F61">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6B8FB248">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61D05629">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（2）根据采购人要求与涉密工作岗位的服务人员签订保密协议。保密协议应当向采购人报备。</w:t>
            </w:r>
          </w:p>
        </w:tc>
      </w:tr>
      <w:tr w14:paraId="4CA1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61D0CC9C">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380F24CC">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23E6E876">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14:paraId="760BD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065C0FBE">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1108C611">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75E2968E">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（4）发现服务人员违法违规或重大过失，及时报告采购人，并采取必要补救措施。</w:t>
            </w:r>
          </w:p>
        </w:tc>
      </w:tr>
      <w:tr w14:paraId="797E4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restart"/>
            <w:vAlign w:val="center"/>
          </w:tcPr>
          <w:p w14:paraId="6B4BBA2D">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4</w:t>
            </w:r>
          </w:p>
        </w:tc>
        <w:tc>
          <w:tcPr>
            <w:tcW w:w="1552" w:type="dxa"/>
            <w:vMerge w:val="restart"/>
            <w:vAlign w:val="center"/>
          </w:tcPr>
          <w:p w14:paraId="4B50AA75">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档案管理</w:t>
            </w:r>
          </w:p>
        </w:tc>
        <w:tc>
          <w:tcPr>
            <w:tcW w:w="6251" w:type="dxa"/>
            <w:vAlign w:val="center"/>
          </w:tcPr>
          <w:p w14:paraId="4CC8AF52">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（1）建立物业信息，准确、及时地对文件资料和服务记录进行归档保存，并确保其物理安全。</w:t>
            </w:r>
          </w:p>
        </w:tc>
      </w:tr>
      <w:tr w14:paraId="5CB1B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6D051322">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24C4E449">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34E7F42C">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档案和记录齐全，包括但不限于：①采购人建议与投诉等。教育培训和考核记录。保密、思想政治教育培训记录。②维保记录。③公用设施设备维护服务：设备台账、设备卡、使用说明、维保记录、巡查记录、设施设备安全运行、设施设备定期巡检、维护保养、维修档案等。④保洁服务：工作日志、清洁检查表、用品清单、客户反馈表等。⑤其他：客户信息、财务明细、合同协议、信报信息登记、大件物品进出登记等。</w:t>
            </w:r>
          </w:p>
        </w:tc>
      </w:tr>
      <w:tr w14:paraId="1399E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7" w:hRule="atLeast"/>
        </w:trPr>
        <w:tc>
          <w:tcPr>
            <w:tcW w:w="763" w:type="dxa"/>
            <w:vMerge w:val="continue"/>
            <w:vAlign w:val="center"/>
          </w:tcPr>
          <w:p w14:paraId="08358CF5">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5287DAF3">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77B0163E">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（3）遵守采购人的信息、档案资料保密要求，未经许可，不得将建筑物平面图等资料转作其他用途或向其他单位、个人提供。</w:t>
            </w:r>
          </w:p>
        </w:tc>
      </w:tr>
      <w:tr w14:paraId="6176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7" w:hRule="atLeast"/>
        </w:trPr>
        <w:tc>
          <w:tcPr>
            <w:tcW w:w="763" w:type="dxa"/>
            <w:vMerge w:val="continue"/>
            <w:vAlign w:val="center"/>
          </w:tcPr>
          <w:p w14:paraId="3E6EFE9A">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171A937D">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77B959A9">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（4）履约结束后，相关资料交还采购人，采购人按政府采购相关规定存档。</w:t>
            </w:r>
          </w:p>
        </w:tc>
      </w:tr>
      <w:tr w14:paraId="2B51A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restart"/>
            <w:vAlign w:val="center"/>
          </w:tcPr>
          <w:p w14:paraId="6008CC56">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5</w:t>
            </w:r>
          </w:p>
        </w:tc>
        <w:tc>
          <w:tcPr>
            <w:tcW w:w="1552" w:type="dxa"/>
            <w:vMerge w:val="restart"/>
            <w:vAlign w:val="center"/>
          </w:tcPr>
          <w:p w14:paraId="5855A670">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服务改进</w:t>
            </w:r>
          </w:p>
        </w:tc>
        <w:tc>
          <w:tcPr>
            <w:tcW w:w="6251" w:type="dxa"/>
            <w:vAlign w:val="center"/>
          </w:tcPr>
          <w:p w14:paraId="55CD27A0">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（1）明确负责人，定期对物业服务过程进行自查，结合反馈意见与评价结果采取改进措施，持续提升管理与服务水平。</w:t>
            </w:r>
          </w:p>
        </w:tc>
      </w:tr>
      <w:tr w14:paraId="485C2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4BF5B922">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14984291">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4CBE3886">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（2）对不合格服务进行控制，对不合格服务的原因进行识别和分析，及时采取纠正措施，消除不合格的原因，防止不合格再发生。</w:t>
            </w:r>
          </w:p>
        </w:tc>
      </w:tr>
      <w:tr w14:paraId="46301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09B628FC">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0CDB386B">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5BC77DFC">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（3）需整改问题及时整改完成。</w:t>
            </w:r>
          </w:p>
        </w:tc>
      </w:tr>
      <w:tr w14:paraId="4837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restart"/>
            <w:vAlign w:val="center"/>
          </w:tcPr>
          <w:p w14:paraId="703209BB">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6</w:t>
            </w:r>
          </w:p>
        </w:tc>
        <w:tc>
          <w:tcPr>
            <w:tcW w:w="1552" w:type="dxa"/>
            <w:vMerge w:val="restart"/>
            <w:vAlign w:val="center"/>
          </w:tcPr>
          <w:p w14:paraId="189004B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服务方案及工作制度</w:t>
            </w:r>
          </w:p>
        </w:tc>
        <w:tc>
          <w:tcPr>
            <w:tcW w:w="6251" w:type="dxa"/>
            <w:vAlign w:val="center"/>
          </w:tcPr>
          <w:p w14:paraId="4123DDC3">
            <w:pPr>
              <w:widowControl/>
              <w:adjustRightInd w:val="0"/>
              <w:snapToGrid w:val="0"/>
              <w:spacing w:after="200" w:line="360" w:lineRule="exact"/>
              <w:ind w:firstLine="210"/>
              <w:jc w:val="left"/>
              <w:rPr>
                <w:rFonts w:ascii="Times New Roman" w:hAnsi="Times New Roman" w:eastAsia="微软雅黑" w:cs="宋体"/>
                <w:bCs/>
                <w:color w:val="000000"/>
                <w:kern w:val="0"/>
                <w:sz w:val="22"/>
                <w:szCs w:val="22"/>
              </w:rPr>
            </w:pPr>
            <w:r>
              <w:rPr>
                <w:rFonts w:hint="eastAsia" w:ascii="Times New Roman" w:hAnsi="Times New Roman" w:eastAsia="微软雅黑" w:cs="宋体"/>
                <w:color w:val="000000"/>
                <w:kern w:val="0"/>
                <w:szCs w:val="22"/>
              </w:rPr>
              <w:t>（1）制定工作制度，</w:t>
            </w:r>
            <w:r>
              <w:rPr>
                <w:rFonts w:hint="eastAsia" w:ascii="Times New Roman" w:hAnsi="Times New Roman" w:eastAsia="微软雅黑" w:cs="宋体"/>
                <w:bCs/>
                <w:color w:val="000000"/>
                <w:kern w:val="0"/>
                <w:szCs w:val="22"/>
              </w:rPr>
              <w:t>主要包括：人员录用制度、</w:t>
            </w:r>
            <w:r>
              <w:rPr>
                <w:rFonts w:hint="eastAsia" w:ascii="Times New Roman" w:hAnsi="Times New Roman" w:eastAsia="微软雅黑" w:cs="宋体"/>
                <w:color w:val="000000"/>
                <w:kern w:val="0"/>
                <w:szCs w:val="22"/>
              </w:rPr>
              <w:t>档案管理制度、</w:t>
            </w:r>
            <w:r>
              <w:rPr>
                <w:rFonts w:hint="eastAsia" w:ascii="Times New Roman" w:hAnsi="Times New Roman" w:eastAsia="微软雅黑" w:cs="宋体"/>
                <w:bCs/>
                <w:color w:val="000000"/>
                <w:kern w:val="0"/>
                <w:szCs w:val="22"/>
              </w:rPr>
              <w:t>物业服务管理制度、</w:t>
            </w:r>
            <w:r>
              <w:rPr>
                <w:rFonts w:hint="eastAsia" w:ascii="Times New Roman" w:hAnsi="Times New Roman" w:eastAsia="微软雅黑" w:cs="宋体"/>
                <w:color w:val="000000"/>
                <w:kern w:val="0"/>
                <w:szCs w:val="22"/>
              </w:rPr>
              <w:t>公用设施设备相关管理制度等</w:t>
            </w:r>
            <w:r>
              <w:rPr>
                <w:rFonts w:hint="eastAsia" w:ascii="Times New Roman" w:hAnsi="Times New Roman" w:eastAsia="微软雅黑" w:cs="宋体"/>
                <w:bCs/>
                <w:color w:val="000000"/>
                <w:kern w:val="0"/>
                <w:szCs w:val="22"/>
              </w:rPr>
              <w:t>。</w:t>
            </w:r>
          </w:p>
        </w:tc>
      </w:tr>
      <w:tr w14:paraId="2BC5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1F75574D">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382E9F74">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679C4129">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（2）制定</w:t>
            </w:r>
            <w:r>
              <w:rPr>
                <w:rFonts w:hint="eastAsia" w:ascii="Times New Roman" w:hAnsi="Times New Roman" w:eastAsia="微软雅黑" w:cs="宋体"/>
                <w:bCs/>
                <w:color w:val="000000"/>
                <w:kern w:val="0"/>
                <w:szCs w:val="22"/>
              </w:rPr>
              <w:t>项目实施方案，主要包括：交接方案、人员培训方案、人员稳定性方案、保密方案等。</w:t>
            </w:r>
          </w:p>
        </w:tc>
      </w:tr>
      <w:tr w14:paraId="1868F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6279FB74">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49A6CE71">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6907D395">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（3）制定</w:t>
            </w:r>
            <w:r>
              <w:rPr>
                <w:rFonts w:hint="eastAsia" w:ascii="Times New Roman" w:hAnsi="Times New Roman" w:eastAsia="微软雅黑" w:cs="宋体"/>
                <w:bCs/>
                <w:color w:val="000000"/>
                <w:kern w:val="0"/>
                <w:szCs w:val="22"/>
              </w:rPr>
              <w:t>物业服务方案，主要包括：房屋维护服务方案、公用设施设备维护服务方案、绿化服务方案、保洁服务方案、保安服务方案、会议服务方案等。</w:t>
            </w:r>
          </w:p>
        </w:tc>
      </w:tr>
      <w:tr w14:paraId="335E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3" w:type="dxa"/>
            <w:vAlign w:val="center"/>
          </w:tcPr>
          <w:p w14:paraId="4F671CF0">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7</w:t>
            </w:r>
          </w:p>
        </w:tc>
        <w:tc>
          <w:tcPr>
            <w:tcW w:w="1552" w:type="dxa"/>
            <w:vAlign w:val="center"/>
          </w:tcPr>
          <w:p w14:paraId="3B57F081">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物品出入服务</w:t>
            </w:r>
          </w:p>
        </w:tc>
        <w:tc>
          <w:tcPr>
            <w:tcW w:w="6251" w:type="dxa"/>
            <w:vAlign w:val="center"/>
          </w:tcPr>
          <w:p w14:paraId="681822EA">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（1）大件物品出入向采购人报告，待采购人确认无误后放行。</w:t>
            </w:r>
          </w:p>
        </w:tc>
      </w:tr>
      <w:tr w14:paraId="44F5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5" w:hRule="atLeast"/>
        </w:trPr>
        <w:tc>
          <w:tcPr>
            <w:tcW w:w="763" w:type="dxa"/>
            <w:vMerge w:val="restart"/>
            <w:vAlign w:val="center"/>
          </w:tcPr>
          <w:p w14:paraId="04B52A53">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8</w:t>
            </w:r>
          </w:p>
        </w:tc>
        <w:tc>
          <w:tcPr>
            <w:tcW w:w="1552" w:type="dxa"/>
            <w:vMerge w:val="restart"/>
            <w:vAlign w:val="center"/>
          </w:tcPr>
          <w:p w14:paraId="7F96F7E1">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服务热线及紧急维修</w:t>
            </w:r>
          </w:p>
        </w:tc>
        <w:tc>
          <w:tcPr>
            <w:tcW w:w="6251" w:type="dxa"/>
            <w:vAlign w:val="center"/>
          </w:tcPr>
          <w:p w14:paraId="4124026D">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（1）设置24小时报修服务热线，随时有人响应报修、求助等服务需求。</w:t>
            </w:r>
          </w:p>
        </w:tc>
      </w:tr>
      <w:tr w14:paraId="58466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63" w:type="dxa"/>
            <w:vMerge w:val="continue"/>
            <w:vAlign w:val="center"/>
          </w:tcPr>
          <w:p w14:paraId="3E88F6DC">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52" w:type="dxa"/>
            <w:vMerge w:val="continue"/>
            <w:vAlign w:val="center"/>
          </w:tcPr>
          <w:p w14:paraId="267101E6">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51" w:type="dxa"/>
            <w:vAlign w:val="center"/>
          </w:tcPr>
          <w:p w14:paraId="13E416A8">
            <w:pPr>
              <w:widowControl/>
              <w:adjustRightInd w:val="0"/>
              <w:snapToGrid w:val="0"/>
              <w:spacing w:after="200" w:line="360" w:lineRule="exact"/>
              <w:ind w:firstLine="210"/>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（2）紧急维修应当5分钟内到达现场，不间断维修直至修复。</w:t>
            </w:r>
          </w:p>
        </w:tc>
      </w:tr>
    </w:tbl>
    <w:p w14:paraId="448AD556">
      <w:pPr>
        <w:keepNext/>
        <w:keepLines/>
        <w:spacing w:line="500" w:lineRule="exact"/>
        <w:outlineLvl w:val="2"/>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3.2房屋设施设备检查服务</w:t>
      </w:r>
    </w:p>
    <w:tbl>
      <w:tblPr>
        <w:tblStyle w:val="2"/>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1535"/>
        <w:gridCol w:w="6243"/>
      </w:tblGrid>
      <w:tr w14:paraId="49D55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4" w:type="dxa"/>
            <w:vAlign w:val="center"/>
          </w:tcPr>
          <w:p w14:paraId="60DC9BEB">
            <w:pPr>
              <w:widowControl/>
              <w:adjustRightInd w:val="0"/>
              <w:snapToGrid w:val="0"/>
              <w:spacing w:after="200" w:line="360" w:lineRule="exact"/>
              <w:jc w:val="center"/>
              <w:rPr>
                <w:rFonts w:ascii="Times New Roman" w:hAnsi="Times New Roman" w:eastAsia="微软雅黑" w:cs="宋体"/>
                <w:bCs/>
                <w:color w:val="000000"/>
                <w:kern w:val="0"/>
                <w:sz w:val="22"/>
                <w:szCs w:val="22"/>
              </w:rPr>
            </w:pPr>
            <w:r>
              <w:rPr>
                <w:rFonts w:hint="eastAsia" w:ascii="Times New Roman" w:hAnsi="Times New Roman" w:eastAsia="微软雅黑" w:cs="宋体"/>
                <w:bCs/>
                <w:color w:val="000000"/>
                <w:kern w:val="0"/>
                <w:szCs w:val="22"/>
              </w:rPr>
              <w:t>序号</w:t>
            </w:r>
          </w:p>
        </w:tc>
        <w:tc>
          <w:tcPr>
            <w:tcW w:w="1535" w:type="dxa"/>
            <w:vAlign w:val="center"/>
          </w:tcPr>
          <w:p w14:paraId="1C1E4552">
            <w:pPr>
              <w:widowControl/>
              <w:adjustRightInd w:val="0"/>
              <w:snapToGrid w:val="0"/>
              <w:spacing w:after="200" w:line="360" w:lineRule="exact"/>
              <w:jc w:val="center"/>
              <w:rPr>
                <w:rFonts w:ascii="Times New Roman" w:hAnsi="Times New Roman" w:eastAsia="微软雅黑" w:cs="宋体"/>
                <w:bCs/>
                <w:color w:val="000000"/>
                <w:kern w:val="0"/>
                <w:sz w:val="22"/>
                <w:szCs w:val="22"/>
              </w:rPr>
            </w:pPr>
            <w:r>
              <w:rPr>
                <w:rFonts w:hint="eastAsia" w:ascii="Times New Roman" w:hAnsi="Times New Roman" w:eastAsia="微软雅黑" w:cs="宋体"/>
                <w:bCs/>
                <w:color w:val="000000"/>
                <w:kern w:val="0"/>
                <w:szCs w:val="22"/>
              </w:rPr>
              <w:t>服务内容</w:t>
            </w:r>
          </w:p>
        </w:tc>
        <w:tc>
          <w:tcPr>
            <w:tcW w:w="6243" w:type="dxa"/>
            <w:vAlign w:val="center"/>
          </w:tcPr>
          <w:p w14:paraId="7119EB25">
            <w:pPr>
              <w:widowControl/>
              <w:adjustRightInd w:val="0"/>
              <w:snapToGrid w:val="0"/>
              <w:spacing w:after="200" w:line="360" w:lineRule="exact"/>
              <w:jc w:val="center"/>
              <w:rPr>
                <w:rFonts w:ascii="Times New Roman" w:hAnsi="Times New Roman" w:eastAsia="微软雅黑" w:cs="宋体"/>
                <w:bCs/>
                <w:color w:val="000000"/>
                <w:kern w:val="0"/>
                <w:sz w:val="22"/>
                <w:szCs w:val="22"/>
              </w:rPr>
            </w:pPr>
            <w:r>
              <w:rPr>
                <w:rFonts w:hint="eastAsia" w:ascii="Times New Roman" w:hAnsi="Times New Roman" w:eastAsia="微软雅黑" w:cs="宋体"/>
                <w:bCs/>
                <w:color w:val="000000"/>
                <w:kern w:val="0"/>
                <w:szCs w:val="22"/>
              </w:rPr>
              <w:t>服务标准</w:t>
            </w:r>
          </w:p>
        </w:tc>
      </w:tr>
      <w:tr w14:paraId="7CE2F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restart"/>
            <w:vAlign w:val="center"/>
          </w:tcPr>
          <w:p w14:paraId="65D72627">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w:t>
            </w:r>
          </w:p>
        </w:tc>
        <w:tc>
          <w:tcPr>
            <w:tcW w:w="1535" w:type="dxa"/>
            <w:vMerge w:val="restart"/>
            <w:vAlign w:val="center"/>
          </w:tcPr>
          <w:p w14:paraId="0BE46AC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主体结构、围护结构、部品部件</w:t>
            </w:r>
          </w:p>
        </w:tc>
        <w:tc>
          <w:tcPr>
            <w:tcW w:w="6243" w:type="dxa"/>
            <w:vAlign w:val="center"/>
          </w:tcPr>
          <w:p w14:paraId="0A22C39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（1）每季度至少开展1次房屋结构安全巡视，发现外观有变形、开裂等现象，及时建议采购人申请房屋安全鉴定，并采取必要的避险和防护措施。</w:t>
            </w:r>
          </w:p>
        </w:tc>
      </w:tr>
      <w:tr w14:paraId="4E1A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continue"/>
            <w:vAlign w:val="center"/>
          </w:tcPr>
          <w:p w14:paraId="1578A02F">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35" w:type="dxa"/>
            <w:vMerge w:val="continue"/>
            <w:vAlign w:val="center"/>
          </w:tcPr>
          <w:p w14:paraId="458FD1BE">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43" w:type="dxa"/>
            <w:vAlign w:val="center"/>
          </w:tcPr>
          <w:p w14:paraId="4206BC98">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（2）每季度至少开展1次外墙贴饰面、幕墙玻璃、雨篷、散水、空调室外机支撑构件等检查，发现破损，及时向采购人报告。</w:t>
            </w:r>
          </w:p>
        </w:tc>
      </w:tr>
      <w:tr w14:paraId="20FE5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continue"/>
            <w:vAlign w:val="center"/>
          </w:tcPr>
          <w:p w14:paraId="57037EFC">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35" w:type="dxa"/>
            <w:vMerge w:val="continue"/>
            <w:vAlign w:val="center"/>
          </w:tcPr>
          <w:p w14:paraId="456D6D52">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43" w:type="dxa"/>
            <w:vAlign w:val="center"/>
          </w:tcPr>
          <w:p w14:paraId="7751C91D">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（3）每半月至少开展1次公用部位的门、窗、楼梯、通风道、室内地面、墙面、吊顶和室外屋面等巡查，发现破损，及时向采购人报告。</w:t>
            </w:r>
          </w:p>
        </w:tc>
      </w:tr>
      <w:tr w14:paraId="0DB63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continue"/>
            <w:vAlign w:val="center"/>
          </w:tcPr>
          <w:p w14:paraId="0EA087A9">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35" w:type="dxa"/>
            <w:vMerge w:val="continue"/>
            <w:vAlign w:val="center"/>
          </w:tcPr>
          <w:p w14:paraId="00DE41A8">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43" w:type="dxa"/>
            <w:vAlign w:val="center"/>
          </w:tcPr>
          <w:p w14:paraId="23BB42B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（4）每年强降雨天气前后、雨雪季节检查屋面防水和雨落管等，发现破损，及时向采购人报告。</w:t>
            </w:r>
          </w:p>
        </w:tc>
      </w:tr>
      <w:tr w14:paraId="3E1C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continue"/>
            <w:vAlign w:val="center"/>
          </w:tcPr>
          <w:p w14:paraId="0A2A7AE4">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35" w:type="dxa"/>
            <w:vMerge w:val="continue"/>
            <w:vAlign w:val="center"/>
          </w:tcPr>
          <w:p w14:paraId="51501FE3">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43" w:type="dxa"/>
            <w:vAlign w:val="center"/>
          </w:tcPr>
          <w:p w14:paraId="600654C3">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（5）办公楼外观完好，建筑装饰面无脱落、无破损、无污渍，玻璃幕墙清洁明亮、无破损。</w:t>
            </w:r>
          </w:p>
        </w:tc>
      </w:tr>
      <w:tr w14:paraId="72C1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continue"/>
            <w:vAlign w:val="center"/>
          </w:tcPr>
          <w:p w14:paraId="0326A097">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35" w:type="dxa"/>
            <w:vMerge w:val="continue"/>
            <w:vAlign w:val="center"/>
          </w:tcPr>
          <w:p w14:paraId="1E2944C2">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43" w:type="dxa"/>
            <w:vAlign w:val="center"/>
          </w:tcPr>
          <w:p w14:paraId="31DFF9A5">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（6）保持通道、楼梯、门窗等设施完好和正常使用。</w:t>
            </w:r>
          </w:p>
        </w:tc>
      </w:tr>
      <w:tr w14:paraId="6ECB0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restart"/>
            <w:vAlign w:val="center"/>
          </w:tcPr>
          <w:p w14:paraId="1A64D90A">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w:t>
            </w:r>
          </w:p>
        </w:tc>
        <w:tc>
          <w:tcPr>
            <w:tcW w:w="1535" w:type="dxa"/>
            <w:vMerge w:val="restart"/>
            <w:vAlign w:val="center"/>
          </w:tcPr>
          <w:p w14:paraId="31EA29B0">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其他设施</w:t>
            </w:r>
          </w:p>
        </w:tc>
        <w:tc>
          <w:tcPr>
            <w:tcW w:w="6243" w:type="dxa"/>
            <w:vAlign w:val="center"/>
          </w:tcPr>
          <w:p w14:paraId="6E1A477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（1）每半月至少开展1次大门、围墙、道路、场地、管井、楼面等巡查，每半月至少检查1次雨污水管井、化粪池等巡查，发现堵塞，及时疏通清理；发现塌陷，及时向采购人报告。</w:t>
            </w:r>
          </w:p>
        </w:tc>
      </w:tr>
      <w:tr w14:paraId="422F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44" w:type="dxa"/>
            <w:vMerge w:val="continue"/>
            <w:vAlign w:val="center"/>
          </w:tcPr>
          <w:p w14:paraId="40CEA02D">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535" w:type="dxa"/>
            <w:vMerge w:val="continue"/>
            <w:vAlign w:val="center"/>
          </w:tcPr>
          <w:p w14:paraId="70D14ECB">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43" w:type="dxa"/>
            <w:vAlign w:val="center"/>
          </w:tcPr>
          <w:p w14:paraId="78AFA19E">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微软雅黑" w:cs="宋体"/>
                <w:color w:val="000000"/>
                <w:kern w:val="0"/>
                <w:szCs w:val="22"/>
              </w:rPr>
              <w:t>（2）路面状态良好，保证地漏通畅不堵塞。</w:t>
            </w:r>
          </w:p>
        </w:tc>
      </w:tr>
    </w:tbl>
    <w:p w14:paraId="31F9698D">
      <w:pPr>
        <w:keepNext/>
        <w:keepLines/>
        <w:spacing w:line="500" w:lineRule="exact"/>
        <w:outlineLvl w:val="2"/>
        <w:rPr>
          <w:rFonts w:ascii="Times New Roman" w:hAnsi="Times New Roman" w:eastAsia="宋体" w:cs="宋体"/>
          <w:b/>
          <w:bCs/>
          <w:color w:val="000000"/>
          <w:kern w:val="0"/>
          <w:sz w:val="24"/>
          <w:szCs w:val="24"/>
        </w:rPr>
      </w:pPr>
      <w:r>
        <w:rPr>
          <w:rFonts w:hint="eastAsia" w:ascii="宋体" w:hAnsi="宋体" w:eastAsia="宋体" w:cs="宋体"/>
          <w:b/>
          <w:bCs/>
          <w:color w:val="000000"/>
          <w:kern w:val="0"/>
          <w:sz w:val="24"/>
          <w:szCs w:val="24"/>
        </w:rPr>
        <w:t>3.3</w:t>
      </w:r>
      <w:r>
        <w:rPr>
          <w:rFonts w:hint="eastAsia" w:ascii="Times New Roman" w:hAnsi="Times New Roman" w:eastAsia="宋体" w:cs="宋体"/>
          <w:b/>
          <w:bCs/>
          <w:color w:val="000000"/>
          <w:kern w:val="0"/>
          <w:sz w:val="24"/>
          <w:szCs w:val="24"/>
        </w:rPr>
        <w:t>保洁服务</w:t>
      </w:r>
    </w:p>
    <w:tbl>
      <w:tblPr>
        <w:tblStyle w:val="2"/>
        <w:tblpPr w:leftFromText="180" w:rightFromText="180" w:vertAnchor="text" w:horzAnchor="page" w:tblpX="1671" w:tblpY="466"/>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137"/>
        <w:gridCol w:w="6618"/>
      </w:tblGrid>
      <w:tr w14:paraId="07653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473C9589">
            <w:pPr>
              <w:widowControl/>
              <w:adjustRightInd w:val="0"/>
              <w:snapToGrid w:val="0"/>
              <w:spacing w:after="200" w:line="360" w:lineRule="exact"/>
              <w:jc w:val="center"/>
              <w:rPr>
                <w:rFonts w:ascii="宋体" w:hAnsi="宋体" w:eastAsia="微软雅黑" w:cs="宋体"/>
                <w:b/>
                <w:bCs/>
                <w:color w:val="000000"/>
                <w:kern w:val="0"/>
                <w:sz w:val="22"/>
                <w:szCs w:val="22"/>
              </w:rPr>
            </w:pPr>
            <w:r>
              <w:rPr>
                <w:rFonts w:hint="eastAsia" w:ascii="宋体" w:hAnsi="宋体" w:eastAsia="微软雅黑" w:cs="宋体"/>
                <w:b/>
                <w:bCs/>
                <w:color w:val="000000"/>
                <w:kern w:val="0"/>
                <w:sz w:val="22"/>
                <w:szCs w:val="22"/>
              </w:rPr>
              <w:t>序号</w:t>
            </w:r>
          </w:p>
        </w:tc>
        <w:tc>
          <w:tcPr>
            <w:tcW w:w="1137" w:type="dxa"/>
            <w:vAlign w:val="center"/>
          </w:tcPr>
          <w:p w14:paraId="08DA2942">
            <w:pPr>
              <w:widowControl/>
              <w:adjustRightInd w:val="0"/>
              <w:snapToGrid w:val="0"/>
              <w:spacing w:after="200" w:line="360" w:lineRule="exact"/>
              <w:jc w:val="center"/>
              <w:rPr>
                <w:rFonts w:ascii="宋体" w:hAnsi="宋体" w:eastAsia="微软雅黑" w:cs="宋体"/>
                <w:b/>
                <w:bCs/>
                <w:color w:val="000000"/>
                <w:kern w:val="0"/>
                <w:sz w:val="22"/>
                <w:szCs w:val="22"/>
              </w:rPr>
            </w:pPr>
            <w:r>
              <w:rPr>
                <w:rFonts w:hint="eastAsia" w:ascii="宋体" w:hAnsi="宋体" w:eastAsia="微软雅黑" w:cs="宋体"/>
                <w:b/>
                <w:bCs/>
                <w:color w:val="000000"/>
                <w:kern w:val="0"/>
                <w:sz w:val="22"/>
                <w:szCs w:val="22"/>
              </w:rPr>
              <w:t>服务内容</w:t>
            </w:r>
          </w:p>
        </w:tc>
        <w:tc>
          <w:tcPr>
            <w:tcW w:w="6618" w:type="dxa"/>
            <w:vAlign w:val="center"/>
          </w:tcPr>
          <w:p w14:paraId="663C3B17">
            <w:pPr>
              <w:widowControl/>
              <w:adjustRightInd w:val="0"/>
              <w:snapToGrid w:val="0"/>
              <w:spacing w:after="200" w:line="360" w:lineRule="exact"/>
              <w:jc w:val="center"/>
              <w:rPr>
                <w:rFonts w:ascii="宋体" w:hAnsi="宋体" w:eastAsia="微软雅黑" w:cs="宋体"/>
                <w:b/>
                <w:bCs/>
                <w:color w:val="000000"/>
                <w:kern w:val="0"/>
                <w:sz w:val="22"/>
                <w:szCs w:val="22"/>
              </w:rPr>
            </w:pPr>
            <w:r>
              <w:rPr>
                <w:rFonts w:hint="eastAsia" w:ascii="宋体" w:hAnsi="宋体" w:eastAsia="微软雅黑" w:cs="宋体"/>
                <w:b/>
                <w:bCs/>
                <w:color w:val="000000"/>
                <w:kern w:val="0"/>
                <w:sz w:val="22"/>
                <w:szCs w:val="22"/>
              </w:rPr>
              <w:t>服务标准</w:t>
            </w:r>
          </w:p>
        </w:tc>
      </w:tr>
      <w:tr w14:paraId="38B7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Align w:val="center"/>
          </w:tcPr>
          <w:p w14:paraId="44C78E99">
            <w:pPr>
              <w:widowControl/>
              <w:adjustRightInd w:val="0"/>
              <w:snapToGrid w:val="0"/>
              <w:spacing w:after="200" w:line="360" w:lineRule="exact"/>
              <w:ind w:firstLine="210"/>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w:t>
            </w:r>
          </w:p>
        </w:tc>
        <w:tc>
          <w:tcPr>
            <w:tcW w:w="1137" w:type="dxa"/>
            <w:vAlign w:val="center"/>
          </w:tcPr>
          <w:p w14:paraId="6EB3F4CD">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基本要求</w:t>
            </w:r>
          </w:p>
        </w:tc>
        <w:tc>
          <w:tcPr>
            <w:tcW w:w="6618" w:type="dxa"/>
            <w:vAlign w:val="center"/>
          </w:tcPr>
          <w:p w14:paraId="7D7BA2CF">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建立保洁服务的工作制度及工作计划，并按照执行。（2）做好保洁服务工作记录，记录填写规范、保存完好。（3）作业时采取安全防护措施，防止对作业人员或他人造成伤害。相关耗材的环保、安全性等应当符合国家相关规定要求。</w:t>
            </w:r>
          </w:p>
        </w:tc>
      </w:tr>
      <w:tr w14:paraId="1374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7" w:hRule="atLeast"/>
        </w:trPr>
        <w:tc>
          <w:tcPr>
            <w:tcW w:w="750" w:type="dxa"/>
            <w:vMerge w:val="restart"/>
            <w:vAlign w:val="center"/>
          </w:tcPr>
          <w:p w14:paraId="0DCAF853">
            <w:pPr>
              <w:widowControl/>
              <w:adjustRightInd w:val="0"/>
              <w:snapToGrid w:val="0"/>
              <w:spacing w:after="200" w:line="360" w:lineRule="exact"/>
              <w:ind w:firstLine="210"/>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2</w:t>
            </w:r>
          </w:p>
        </w:tc>
        <w:tc>
          <w:tcPr>
            <w:tcW w:w="1137" w:type="dxa"/>
            <w:vMerge w:val="restart"/>
            <w:vAlign w:val="center"/>
          </w:tcPr>
          <w:p w14:paraId="69B2832E">
            <w:pPr>
              <w:widowControl/>
              <w:adjustRightInd w:val="0"/>
              <w:snapToGrid w:val="0"/>
              <w:spacing w:after="200" w:line="360" w:lineRule="exact"/>
              <w:ind w:firstLine="210"/>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办公、教学及实训区域保洁</w:t>
            </w:r>
          </w:p>
        </w:tc>
        <w:tc>
          <w:tcPr>
            <w:tcW w:w="6618" w:type="dxa"/>
            <w:vAlign w:val="center"/>
          </w:tcPr>
          <w:p w14:paraId="2BAE4328">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办公区域公共通道：①公共通道保持干净，无异味、无杂物、无积水，每日至少开展2次清洁作业。②门窗玻璃干净无尘，透光性好，每周至少开展1次清洁作业。③指示牌干净，无污渍，每日至少开展1次清洁作业。</w:t>
            </w:r>
          </w:p>
        </w:tc>
      </w:tr>
      <w:tr w14:paraId="3441B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750" w:type="dxa"/>
            <w:vMerge w:val="continue"/>
            <w:vAlign w:val="center"/>
          </w:tcPr>
          <w:p w14:paraId="75FF0324">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7AC3F075">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2BF1940D">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（2）电器、消防等设施设备：配电箱、设备机房、会议室音视频设备、消防栓及开关插座等保持表面干净，无尘无污迹，每月至少开展1次清洁作业。</w:t>
            </w:r>
          </w:p>
        </w:tc>
      </w:tr>
      <w:tr w14:paraId="6CE80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663B215">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0215685B">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7CCC44F3">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（3）楼梯及楼梯间保持干净、无异味、无杂物、无积水，每日至少开展2次清洁作业。各楼梯间墙面、天花板每周除尘1次。</w:t>
            </w:r>
          </w:p>
        </w:tc>
      </w:tr>
      <w:tr w14:paraId="7DD8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95866F9">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2356CCA2">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70E724FD">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（4）开水间保持干净、无异味、无杂物、无积水，每日至少开展1次全面清洁作业，工作期间保持不间断巡视，至少每小时巡视一次。</w:t>
            </w:r>
          </w:p>
        </w:tc>
      </w:tr>
      <w:tr w14:paraId="4F27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2387304">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373B617A">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0F07463C">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（5）作业工具间：①保持干净，无异味、无杂物、无积水，每日至少开展1次全面清洁作业。②作业工具摆放整齐有序，表面干净无渍，每日消毒。</w:t>
            </w:r>
          </w:p>
        </w:tc>
      </w:tr>
      <w:tr w14:paraId="0B0D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750" w:type="dxa"/>
            <w:vMerge w:val="continue"/>
            <w:vAlign w:val="center"/>
          </w:tcPr>
          <w:p w14:paraId="33C5C458">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7B69B423">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40FF53F5">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（6）公共卫生间：①保持干净，无异味，垃圾无溢出，每日至少开展1次全面清洁和消毒作业，工作期间保持不间断巡视，至少每小时巡视一次。②每日两次收垃圾，更换垃圾袋。</w:t>
            </w:r>
          </w:p>
        </w:tc>
      </w:tr>
      <w:tr w14:paraId="33C7F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7" w:hRule="atLeast"/>
        </w:trPr>
        <w:tc>
          <w:tcPr>
            <w:tcW w:w="750" w:type="dxa"/>
            <w:vMerge w:val="continue"/>
            <w:vAlign w:val="center"/>
          </w:tcPr>
          <w:p w14:paraId="5473136A">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635C2F2D">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06DE8CDF">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（7）电梯轿厢：①保持干净，无污渍、无粘贴物、无异味，每日至少开展1次清洁作业。②灯具、操作指示板明亮。</w:t>
            </w:r>
          </w:p>
        </w:tc>
      </w:tr>
      <w:tr w14:paraId="15682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3D17A4A">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79D7FE8B">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7257A1DC">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（8）平台、楼面、天沟保持干净，有杂物及时清扫，每月至少开展1次清洁作业。</w:t>
            </w:r>
          </w:p>
        </w:tc>
      </w:tr>
      <w:tr w14:paraId="0618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50C8928">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75E7411C">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28EF0419">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（9）石材地面、内墙做好养护工作，每季度开展1次清洁作业。</w:t>
            </w:r>
          </w:p>
        </w:tc>
      </w:tr>
      <w:tr w14:paraId="722FF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750" w:type="dxa"/>
            <w:vMerge w:val="continue"/>
            <w:vAlign w:val="center"/>
          </w:tcPr>
          <w:p w14:paraId="5D83AC68">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69ADA39C">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77FF343A">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（10）地毯干净、无油渍、无污渍、无褪色，每月至少开展1次清洁作业。</w:t>
            </w:r>
          </w:p>
        </w:tc>
      </w:tr>
      <w:tr w14:paraId="7160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750" w:type="dxa"/>
            <w:vMerge w:val="continue"/>
            <w:vAlign w:val="center"/>
          </w:tcPr>
          <w:p w14:paraId="70651BBF">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7FFB2541">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64FA266C">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（11）报告厅、阶梯教室内部每日清洁，家具物品表面干净无灰尘，打开水、倒垃圾，灯空调按要求开关等。</w:t>
            </w:r>
          </w:p>
        </w:tc>
      </w:tr>
      <w:tr w14:paraId="09EB1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750" w:type="dxa"/>
            <w:vMerge w:val="continue"/>
            <w:vAlign w:val="center"/>
          </w:tcPr>
          <w:p w14:paraId="305D2366">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3EE25039">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3889462B">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（12）法定假期及应急突发事件期间，每日清洁领导值班室，含办公区域、休息室、卫生间，室内用品及时更换和添补，保持整洁明亮，无污渍、无积水、无浮灰，定期消毒、清洁玻璃等。</w:t>
            </w:r>
          </w:p>
        </w:tc>
      </w:tr>
      <w:tr w14:paraId="58CC1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750" w:type="dxa"/>
            <w:vMerge w:val="continue"/>
            <w:vAlign w:val="center"/>
          </w:tcPr>
          <w:p w14:paraId="23497270">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6329D3D3">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3F0B6C32">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（13）会议室每日清洁、巡视，定期消毒；</w:t>
            </w:r>
          </w:p>
        </w:tc>
      </w:tr>
      <w:tr w14:paraId="75ED4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750" w:type="dxa"/>
            <w:vMerge w:val="continue"/>
            <w:vAlign w:val="center"/>
          </w:tcPr>
          <w:p w14:paraId="294B433D">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7073AFDE">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215B0C57">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（14）要提前做好各类考试期间保洁工作，按照要求随时做好清洁服务，考试期间厕所做好通风点香工作，温暖季节确保做好灭蝇防鼠工作。</w:t>
            </w:r>
          </w:p>
        </w:tc>
      </w:tr>
      <w:tr w14:paraId="54900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4698E513">
            <w:pPr>
              <w:widowControl/>
              <w:adjustRightInd w:val="0"/>
              <w:snapToGrid w:val="0"/>
              <w:spacing w:after="200" w:line="360" w:lineRule="exact"/>
              <w:ind w:firstLine="210"/>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3</w:t>
            </w:r>
          </w:p>
        </w:tc>
        <w:tc>
          <w:tcPr>
            <w:tcW w:w="1137" w:type="dxa"/>
            <w:vMerge w:val="restart"/>
            <w:vAlign w:val="center"/>
          </w:tcPr>
          <w:p w14:paraId="63A341C0">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公共场地区域保洁</w:t>
            </w:r>
          </w:p>
        </w:tc>
        <w:tc>
          <w:tcPr>
            <w:tcW w:w="6618" w:type="dxa"/>
            <w:vAlign w:val="center"/>
          </w:tcPr>
          <w:p w14:paraId="44CFA4BC">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（1）雪、冰冻等恶劣天气时及时清扫积水、积雪，并采取安全防护措施。</w:t>
            </w:r>
          </w:p>
        </w:tc>
      </w:tr>
      <w:tr w14:paraId="7EBF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4BB9AE8C">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2207CC8F">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08694299">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（2）各种路标、宣传栏等保持干净，每月至少开展1次清洁作业。</w:t>
            </w:r>
          </w:p>
        </w:tc>
      </w:tr>
      <w:tr w14:paraId="5A19E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94B057F">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1F8A54A2">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6E6811F8">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（3）办公区、教学区域及实训区域外立面定期清洗、2米以下区域玻璃擦拭，每学期至少开展1次清洗。</w:t>
            </w:r>
          </w:p>
        </w:tc>
      </w:tr>
      <w:tr w14:paraId="080F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045BF0E">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779B7460">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2535C249">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（4）人工湖湖面、淋浴间保洁。</w:t>
            </w:r>
          </w:p>
        </w:tc>
      </w:tr>
      <w:tr w14:paraId="75721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DED74C5">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00A7CFC6">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7006D45A">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（5）节假日期间，校园环境保洁。</w:t>
            </w:r>
          </w:p>
        </w:tc>
      </w:tr>
      <w:tr w14:paraId="2490D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737874F7">
            <w:pPr>
              <w:widowControl/>
              <w:adjustRightInd w:val="0"/>
              <w:snapToGrid w:val="0"/>
              <w:spacing w:after="200" w:line="360" w:lineRule="exact"/>
              <w:ind w:firstLine="210"/>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4</w:t>
            </w:r>
          </w:p>
        </w:tc>
        <w:tc>
          <w:tcPr>
            <w:tcW w:w="1137" w:type="dxa"/>
            <w:vMerge w:val="restart"/>
            <w:vAlign w:val="center"/>
          </w:tcPr>
          <w:p w14:paraId="496006AF">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垃圾处理</w:t>
            </w:r>
          </w:p>
        </w:tc>
        <w:tc>
          <w:tcPr>
            <w:tcW w:w="6618" w:type="dxa"/>
            <w:vAlign w:val="center"/>
          </w:tcPr>
          <w:p w14:paraId="2199CF56">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（1）在指定位置摆放分类垃圾桶，并在显著处张贴垃圾分类标识。分类垃圾桶和垃圾分类标识根据所在城市的要求设置。</w:t>
            </w:r>
          </w:p>
        </w:tc>
      </w:tr>
      <w:tr w14:paraId="71E2F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75FD667">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6B06B53A">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6BCAE18D">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（2）桶身表面干净无污渍，每日开展至少1次清洁作业。</w:t>
            </w:r>
          </w:p>
        </w:tc>
      </w:tr>
      <w:tr w14:paraId="49422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5C9877FE">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009355D4">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430E0FDA">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（3）垃圾分类房保持整洁，无明显异味，每日至少开展1次清洁作业。</w:t>
            </w:r>
          </w:p>
        </w:tc>
      </w:tr>
      <w:tr w14:paraId="2021A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5024C69">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0E18C0F2">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73D411AD">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（4）每个工作日内要对楼层产生的垃圾，进行清理分类，并运至垃圾集中堆放点。</w:t>
            </w:r>
          </w:p>
        </w:tc>
      </w:tr>
      <w:tr w14:paraId="332E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4BE53ED">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0F962987">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7A8B3404">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（5）垃圾装袋，日产日清。</w:t>
            </w:r>
          </w:p>
        </w:tc>
      </w:tr>
      <w:tr w14:paraId="6E332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rPr>
        <w:tc>
          <w:tcPr>
            <w:tcW w:w="750" w:type="dxa"/>
            <w:vMerge w:val="continue"/>
            <w:vAlign w:val="center"/>
          </w:tcPr>
          <w:p w14:paraId="26D76BB9">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509D6447">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6731EB2B">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（6）建立垃圾清运台账，交由规范的渠道回收处理。</w:t>
            </w:r>
          </w:p>
        </w:tc>
      </w:tr>
      <w:tr w14:paraId="4E571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rPr>
        <w:tc>
          <w:tcPr>
            <w:tcW w:w="750" w:type="dxa"/>
            <w:vMerge w:val="continue"/>
            <w:vAlign w:val="center"/>
          </w:tcPr>
          <w:p w14:paraId="3E84C5DE">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3DB31EDB">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43E9BE0C">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（7）做好垃圾分类管理的宣传工作，督促并引导全员参与垃圾分类投放。</w:t>
            </w:r>
          </w:p>
        </w:tc>
      </w:tr>
      <w:tr w14:paraId="57793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11A82D45">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27E4D604">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3C4F8BCE">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（8）垃圾分类投放管理工作的执行标准，按所在城市的要求执行。</w:t>
            </w:r>
          </w:p>
        </w:tc>
      </w:tr>
      <w:tr w14:paraId="403AF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trPr>
        <w:tc>
          <w:tcPr>
            <w:tcW w:w="750" w:type="dxa"/>
            <w:vMerge w:val="continue"/>
            <w:vAlign w:val="center"/>
          </w:tcPr>
          <w:p w14:paraId="61743EA9">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660F91B6">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5B804DF9">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（9）每日清洗、清洁垃圾桶，整理垃圾房，严格执行垃圾分类要求。</w:t>
            </w:r>
          </w:p>
        </w:tc>
      </w:tr>
      <w:tr w14:paraId="2510E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750" w:type="dxa"/>
            <w:vMerge w:val="restart"/>
            <w:vAlign w:val="center"/>
          </w:tcPr>
          <w:p w14:paraId="5AD8DC5F">
            <w:pPr>
              <w:widowControl/>
              <w:adjustRightInd w:val="0"/>
              <w:snapToGrid w:val="0"/>
              <w:spacing w:after="200" w:line="360" w:lineRule="exact"/>
              <w:ind w:firstLine="210"/>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5</w:t>
            </w:r>
          </w:p>
        </w:tc>
        <w:tc>
          <w:tcPr>
            <w:tcW w:w="1137" w:type="dxa"/>
            <w:vMerge w:val="restart"/>
            <w:vAlign w:val="center"/>
          </w:tcPr>
          <w:p w14:paraId="7B9B1D63">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卫生消毒</w:t>
            </w:r>
          </w:p>
        </w:tc>
        <w:tc>
          <w:tcPr>
            <w:tcW w:w="6618" w:type="dxa"/>
            <w:vAlign w:val="center"/>
          </w:tcPr>
          <w:p w14:paraId="668EDF3E">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（1）办公用房区域、公共场所区域和周围环境预防性卫生消毒，消毒后及时通风，每周至少开展1次作业。</w:t>
            </w:r>
          </w:p>
        </w:tc>
      </w:tr>
      <w:tr w14:paraId="61CAD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trPr>
        <w:tc>
          <w:tcPr>
            <w:tcW w:w="750" w:type="dxa"/>
            <w:vMerge w:val="continue"/>
            <w:vAlign w:val="center"/>
          </w:tcPr>
          <w:p w14:paraId="63D983FD">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3D36AA15">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0C43F810">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（2）采取综合措施消灭老鼠、蟑螂，控制室内外蚊虫孳生，达到基本无蝇，每季度至少开展1次作业。</w:t>
            </w:r>
          </w:p>
        </w:tc>
      </w:tr>
      <w:tr w14:paraId="1A628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750" w:type="dxa"/>
            <w:vMerge w:val="continue"/>
            <w:vAlign w:val="center"/>
          </w:tcPr>
          <w:p w14:paraId="732F9F22">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1137" w:type="dxa"/>
            <w:vMerge w:val="continue"/>
            <w:vAlign w:val="center"/>
          </w:tcPr>
          <w:p w14:paraId="6A5741FF">
            <w:pPr>
              <w:widowControl/>
              <w:adjustRightInd w:val="0"/>
              <w:snapToGrid w:val="0"/>
              <w:spacing w:after="200" w:line="360" w:lineRule="exact"/>
              <w:ind w:firstLine="210"/>
              <w:jc w:val="left"/>
              <w:rPr>
                <w:rFonts w:ascii="Times New Roman" w:hAnsi="Times New Roman" w:eastAsia="微软雅黑" w:cs="宋体"/>
                <w:color w:val="000000"/>
                <w:kern w:val="0"/>
                <w:szCs w:val="22"/>
              </w:rPr>
            </w:pPr>
          </w:p>
        </w:tc>
        <w:tc>
          <w:tcPr>
            <w:tcW w:w="6618" w:type="dxa"/>
            <w:vAlign w:val="center"/>
          </w:tcPr>
          <w:p w14:paraId="1B2B14F0">
            <w:pPr>
              <w:widowControl/>
              <w:adjustRightInd w:val="0"/>
              <w:snapToGrid w:val="0"/>
              <w:spacing w:after="200" w:line="360" w:lineRule="exact"/>
              <w:jc w:val="left"/>
              <w:rPr>
                <w:rFonts w:ascii="Times New Roman" w:hAnsi="Times New Roman" w:eastAsia="微软雅黑" w:cs="宋体"/>
                <w:color w:val="000000"/>
                <w:kern w:val="0"/>
                <w:szCs w:val="22"/>
              </w:rPr>
            </w:pPr>
            <w:r>
              <w:rPr>
                <w:rFonts w:hint="eastAsia" w:ascii="Times New Roman" w:hAnsi="Times New Roman" w:eastAsia="微软雅黑" w:cs="宋体"/>
                <w:color w:val="000000"/>
                <w:kern w:val="0"/>
                <w:szCs w:val="22"/>
              </w:rPr>
              <w:t>（3）发生公共卫生事件时，邀请专业单位开展消毒、检测等工作。</w:t>
            </w:r>
          </w:p>
        </w:tc>
      </w:tr>
    </w:tbl>
    <w:p w14:paraId="507B3FC2">
      <w:pPr>
        <w:keepNext/>
        <w:jc w:val="left"/>
        <w:outlineLvl w:val="3"/>
        <w:rPr>
          <w:rFonts w:ascii="Times New Roman" w:hAnsi="Times New Roman" w:eastAsia="宋体" w:cs="Times New Roman"/>
          <w:kern w:val="0"/>
          <w:sz w:val="28"/>
          <w:szCs w:val="21"/>
        </w:rPr>
      </w:pPr>
      <w:r>
        <w:rPr>
          <w:rFonts w:hint="eastAsia" w:ascii="Times New Roman" w:hAnsi="Times New Roman" w:eastAsia="宋体" w:cs="Times New Roman"/>
          <w:kern w:val="0"/>
          <w:sz w:val="28"/>
          <w:szCs w:val="21"/>
        </w:rPr>
        <w:t>3.3.1具体清洁要求</w:t>
      </w:r>
    </w:p>
    <w:tbl>
      <w:tblPr>
        <w:tblStyle w:val="2"/>
        <w:tblW w:w="8599" w:type="dxa"/>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622"/>
        <w:gridCol w:w="6227"/>
      </w:tblGrid>
      <w:tr w14:paraId="4699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4DD952B7">
            <w:pPr>
              <w:widowControl/>
              <w:adjustRightInd w:val="0"/>
              <w:snapToGrid w:val="0"/>
              <w:spacing w:after="200" w:line="360" w:lineRule="exact"/>
              <w:jc w:val="center"/>
              <w:rPr>
                <w:rFonts w:ascii="Times New Roman" w:hAnsi="Times New Roman" w:eastAsia="微软雅黑" w:cs="宋体"/>
                <w:b/>
                <w:bCs/>
                <w:color w:val="000000"/>
                <w:kern w:val="0"/>
                <w:sz w:val="22"/>
                <w:szCs w:val="22"/>
              </w:rPr>
            </w:pPr>
            <w:r>
              <w:rPr>
                <w:rFonts w:hint="eastAsia" w:ascii="Times New Roman" w:hAnsi="Times New Roman" w:eastAsia="宋体" w:cs="宋体"/>
                <w:b/>
                <w:bCs/>
                <w:color w:val="000000"/>
                <w:kern w:val="0"/>
                <w:szCs w:val="22"/>
              </w:rPr>
              <w:t>序号</w:t>
            </w:r>
          </w:p>
        </w:tc>
        <w:tc>
          <w:tcPr>
            <w:tcW w:w="1622" w:type="dxa"/>
            <w:vAlign w:val="center"/>
          </w:tcPr>
          <w:p w14:paraId="7F2C07D5">
            <w:pPr>
              <w:widowControl/>
              <w:adjustRightInd w:val="0"/>
              <w:snapToGrid w:val="0"/>
              <w:spacing w:after="200" w:line="360" w:lineRule="exact"/>
              <w:jc w:val="center"/>
              <w:rPr>
                <w:rFonts w:ascii="Times New Roman" w:hAnsi="Times New Roman" w:eastAsia="微软雅黑" w:cs="宋体"/>
                <w:b/>
                <w:bCs/>
                <w:color w:val="000000"/>
                <w:kern w:val="0"/>
                <w:sz w:val="22"/>
                <w:szCs w:val="22"/>
              </w:rPr>
            </w:pPr>
            <w:r>
              <w:rPr>
                <w:rFonts w:hint="eastAsia" w:ascii="Times New Roman" w:hAnsi="Times New Roman" w:eastAsia="宋体" w:cs="宋体"/>
                <w:b/>
                <w:bCs/>
                <w:color w:val="000000"/>
                <w:kern w:val="0"/>
                <w:szCs w:val="22"/>
              </w:rPr>
              <w:t>材质</w:t>
            </w:r>
          </w:p>
        </w:tc>
        <w:tc>
          <w:tcPr>
            <w:tcW w:w="6227" w:type="dxa"/>
            <w:vAlign w:val="center"/>
          </w:tcPr>
          <w:p w14:paraId="44FB5255">
            <w:pPr>
              <w:widowControl/>
              <w:adjustRightInd w:val="0"/>
              <w:snapToGrid w:val="0"/>
              <w:spacing w:after="200" w:line="360" w:lineRule="exact"/>
              <w:jc w:val="center"/>
              <w:rPr>
                <w:rFonts w:ascii="Times New Roman" w:hAnsi="Times New Roman" w:eastAsia="微软雅黑" w:cs="宋体"/>
                <w:b/>
                <w:bCs/>
                <w:color w:val="000000"/>
                <w:kern w:val="0"/>
                <w:sz w:val="22"/>
                <w:szCs w:val="22"/>
              </w:rPr>
            </w:pPr>
            <w:r>
              <w:rPr>
                <w:rFonts w:hint="eastAsia" w:ascii="Times New Roman" w:hAnsi="Times New Roman" w:eastAsia="宋体" w:cs="宋体"/>
                <w:b/>
                <w:bCs/>
                <w:color w:val="000000"/>
                <w:kern w:val="0"/>
                <w:szCs w:val="22"/>
              </w:rPr>
              <w:t>清洁要求</w:t>
            </w:r>
          </w:p>
        </w:tc>
      </w:tr>
      <w:tr w14:paraId="206AD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4698FF18">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w:t>
            </w:r>
          </w:p>
        </w:tc>
        <w:tc>
          <w:tcPr>
            <w:tcW w:w="1622" w:type="dxa"/>
            <w:vMerge w:val="restart"/>
            <w:vAlign w:val="center"/>
          </w:tcPr>
          <w:p w14:paraId="6C024547">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环氧地坪地面</w:t>
            </w:r>
          </w:p>
        </w:tc>
        <w:tc>
          <w:tcPr>
            <w:tcW w:w="6227" w:type="dxa"/>
            <w:vAlign w:val="center"/>
          </w:tcPr>
          <w:p w14:paraId="494C573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（1）清理垃圾：清理地面上的垃圾和杂物。</w:t>
            </w:r>
          </w:p>
        </w:tc>
      </w:tr>
      <w:tr w14:paraId="48DC9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A577FF8">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346F7E86">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2227452F">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（2）清洗地面：用专业的清洁剂或去污剂清洗地面。清洁剂和去污剂的选取要根据污垢的性质而定。环氧地坪一般使用弱酸性或弱碱性的清洁剂，避免使用酸性或碱性强的清洁剂。</w:t>
            </w:r>
          </w:p>
        </w:tc>
      </w:tr>
      <w:tr w14:paraId="2EFD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2503854">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18F58D2F">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552B8E7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（3）滚刷或颗粒机进行深层清洗：对于顽固沉积物，需要使用滚刷或颗粒机进行深层清洗。</w:t>
            </w:r>
          </w:p>
        </w:tc>
      </w:tr>
      <w:tr w14:paraId="5ED4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CD42A93">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43B82014">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4564DB2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（4）浸泡：将清洁剂或去污剂浸泡在环氧地坪上，加强去除污渍的效果。</w:t>
            </w:r>
          </w:p>
        </w:tc>
      </w:tr>
      <w:tr w14:paraId="6002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6A045691">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496CA639">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3D6C0A1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（5）冲洗：用清水将地面冲洗干净，以去除残留的清洁剂或去污剂。</w:t>
            </w:r>
          </w:p>
        </w:tc>
      </w:tr>
      <w:tr w14:paraId="105FC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48DF3858">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w:t>
            </w:r>
          </w:p>
        </w:tc>
        <w:tc>
          <w:tcPr>
            <w:tcW w:w="1622" w:type="dxa"/>
            <w:vMerge w:val="restart"/>
            <w:vAlign w:val="center"/>
          </w:tcPr>
          <w:p w14:paraId="6AE57AFD">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耐磨漆地面</w:t>
            </w:r>
          </w:p>
        </w:tc>
        <w:tc>
          <w:tcPr>
            <w:tcW w:w="6227" w:type="dxa"/>
            <w:vAlign w:val="center"/>
          </w:tcPr>
          <w:p w14:paraId="58FD391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（1）日常清洁：使用软质拖把或地板清洁机，配合清水和中性清洁剂进行清洁。避免使用酸性或碱性清洁剂，以免损坏地面表面。定期清理地面上的污渍和杂物，保持地面干净整洁。</w:t>
            </w:r>
          </w:p>
        </w:tc>
      </w:tr>
      <w:tr w14:paraId="5FEC6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F5BD82D">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49B4BE57">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7A164A6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（2）打蜡：为了增加耐磨地面的光亮度和耐磨性，可以进行打蜡处理。使用适合聚氨酯地面的蜡进行均匀涂抹，待蜡干燥后使用抛光机或拖把清理地面，使其变得光滑而有光泽。</w:t>
            </w:r>
          </w:p>
        </w:tc>
      </w:tr>
      <w:tr w14:paraId="54283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1CF809B2">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3</w:t>
            </w:r>
          </w:p>
        </w:tc>
        <w:tc>
          <w:tcPr>
            <w:tcW w:w="1622" w:type="dxa"/>
            <w:vMerge w:val="restart"/>
            <w:vAlign w:val="center"/>
          </w:tcPr>
          <w:p w14:paraId="7177F44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瓷砖地面</w:t>
            </w:r>
          </w:p>
        </w:tc>
        <w:tc>
          <w:tcPr>
            <w:tcW w:w="6227" w:type="dxa"/>
            <w:vAlign w:val="center"/>
          </w:tcPr>
          <w:p w14:paraId="58F4625E">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（1）日常清洁：推尘，保持地面干净无杂物。</w:t>
            </w:r>
          </w:p>
        </w:tc>
      </w:tr>
      <w:tr w14:paraId="11E6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AAEDCDF">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43B5D77B">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08A7717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（2）深度清洁：使用洗洁精或肥皂水清理。</w:t>
            </w:r>
          </w:p>
        </w:tc>
      </w:tr>
      <w:tr w14:paraId="7580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5A64E9EB">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4</w:t>
            </w:r>
          </w:p>
        </w:tc>
        <w:tc>
          <w:tcPr>
            <w:tcW w:w="1622" w:type="dxa"/>
            <w:vMerge w:val="restart"/>
            <w:vAlign w:val="center"/>
          </w:tcPr>
          <w:p w14:paraId="44BDD36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石材地面</w:t>
            </w:r>
          </w:p>
        </w:tc>
        <w:tc>
          <w:tcPr>
            <w:tcW w:w="6227" w:type="dxa"/>
            <w:vAlign w:val="center"/>
          </w:tcPr>
          <w:p w14:paraId="1365087C">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（1）根据各区域的人流量及大理石的实际磨损程度制定大理石的晶面保养计划。</w:t>
            </w:r>
          </w:p>
        </w:tc>
      </w:tr>
      <w:tr w14:paraId="57F27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0266F454">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16076208">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1CCE7B0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（2）启动晶面机，使用中性清洁剂清洁，避免使用强酸或强碱清洁剂，定期进行基础维护。</w:t>
            </w:r>
          </w:p>
        </w:tc>
      </w:tr>
      <w:tr w14:paraId="54D2E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1476A194">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5</w:t>
            </w:r>
          </w:p>
        </w:tc>
        <w:tc>
          <w:tcPr>
            <w:tcW w:w="1622" w:type="dxa"/>
            <w:vMerge w:val="restart"/>
            <w:vAlign w:val="center"/>
          </w:tcPr>
          <w:p w14:paraId="05A902B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水磨石地面</w:t>
            </w:r>
          </w:p>
        </w:tc>
        <w:tc>
          <w:tcPr>
            <w:tcW w:w="6227" w:type="dxa"/>
            <w:vAlign w:val="center"/>
          </w:tcPr>
          <w:p w14:paraId="1EB91A3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（1）日常清洁：推尘，保持地面干净无杂物。</w:t>
            </w:r>
          </w:p>
        </w:tc>
      </w:tr>
      <w:tr w14:paraId="0C0F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7EFF4F42">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404019A3">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72023E9C">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（2）深度清洁：使用洗洁精或肥皂水清理。</w:t>
            </w:r>
          </w:p>
        </w:tc>
      </w:tr>
      <w:tr w14:paraId="74582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14DA377B">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6</w:t>
            </w:r>
          </w:p>
        </w:tc>
        <w:tc>
          <w:tcPr>
            <w:tcW w:w="1622" w:type="dxa"/>
            <w:vMerge w:val="restart"/>
            <w:vAlign w:val="center"/>
          </w:tcPr>
          <w:p w14:paraId="2CF5805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地胶板地面</w:t>
            </w:r>
          </w:p>
        </w:tc>
        <w:tc>
          <w:tcPr>
            <w:tcW w:w="6227" w:type="dxa"/>
            <w:vAlign w:val="center"/>
          </w:tcPr>
          <w:p w14:paraId="2C4FFB4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（1）定期保养。使用中性清洁剂清洁，避免使用强酸或强碱清洁剂，定期进行基础维护。</w:t>
            </w:r>
          </w:p>
        </w:tc>
      </w:tr>
      <w:tr w14:paraId="1268A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A8218FA">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26EA3971">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4241DA7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（2）日常维护。使用湿润的拖把清洁，污染严重时局部清洁，每月对地胶板地面进行打蜡处理。</w:t>
            </w:r>
          </w:p>
        </w:tc>
      </w:tr>
      <w:tr w14:paraId="41C33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1CFDB7E7">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7</w:t>
            </w:r>
          </w:p>
        </w:tc>
        <w:tc>
          <w:tcPr>
            <w:tcW w:w="1622" w:type="dxa"/>
            <w:vMerge w:val="restart"/>
            <w:vAlign w:val="center"/>
          </w:tcPr>
          <w:p w14:paraId="510E4D30">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地板地面</w:t>
            </w:r>
          </w:p>
        </w:tc>
        <w:tc>
          <w:tcPr>
            <w:tcW w:w="6227" w:type="dxa"/>
            <w:vAlign w:val="center"/>
          </w:tcPr>
          <w:p w14:paraId="5043D65C">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（1）定期保养。使用中性清洁剂清洁，避免使用强酸或强碱清洁剂，定期进行基础维护。</w:t>
            </w:r>
          </w:p>
        </w:tc>
      </w:tr>
      <w:tr w14:paraId="38694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3A13B726">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7453F11A">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0584E48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（2）日常维护。使用湿润的拖把清洁，污染严重时局部清洁，每月对地板进行打蜡处理。</w:t>
            </w:r>
          </w:p>
        </w:tc>
      </w:tr>
      <w:tr w14:paraId="724DD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restart"/>
            <w:vAlign w:val="center"/>
          </w:tcPr>
          <w:p w14:paraId="40678231">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8</w:t>
            </w:r>
          </w:p>
        </w:tc>
        <w:tc>
          <w:tcPr>
            <w:tcW w:w="1622" w:type="dxa"/>
            <w:vMerge w:val="restart"/>
            <w:vAlign w:val="center"/>
          </w:tcPr>
          <w:p w14:paraId="2CE4404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地毯地面</w:t>
            </w:r>
          </w:p>
        </w:tc>
        <w:tc>
          <w:tcPr>
            <w:tcW w:w="6227" w:type="dxa"/>
            <w:vAlign w:val="center"/>
          </w:tcPr>
          <w:p w14:paraId="780EE11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（1）日常用吸尘机除尘，局部脏污用湿布配中性清洁液重点清洁。</w:t>
            </w:r>
          </w:p>
        </w:tc>
      </w:tr>
      <w:tr w14:paraId="6D526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50" w:type="dxa"/>
            <w:vMerge w:val="continue"/>
            <w:vAlign w:val="center"/>
          </w:tcPr>
          <w:p w14:paraId="2F62F599">
            <w:pPr>
              <w:widowControl/>
              <w:adjustRightInd w:val="0"/>
              <w:snapToGrid w:val="0"/>
              <w:spacing w:after="200" w:line="360" w:lineRule="exact"/>
              <w:jc w:val="center"/>
              <w:rPr>
                <w:rFonts w:ascii="Times New Roman" w:hAnsi="Times New Roman" w:eastAsia="微软雅黑" w:cs="宋体"/>
                <w:color w:val="000000"/>
                <w:kern w:val="0"/>
                <w:sz w:val="22"/>
                <w:szCs w:val="22"/>
              </w:rPr>
            </w:pPr>
          </w:p>
        </w:tc>
        <w:tc>
          <w:tcPr>
            <w:tcW w:w="1622" w:type="dxa"/>
            <w:vMerge w:val="continue"/>
            <w:vAlign w:val="center"/>
          </w:tcPr>
          <w:p w14:paraId="40471CDD">
            <w:pPr>
              <w:widowControl/>
              <w:adjustRightInd w:val="0"/>
              <w:snapToGrid w:val="0"/>
              <w:spacing w:after="200" w:line="360" w:lineRule="exact"/>
              <w:jc w:val="left"/>
              <w:rPr>
                <w:rFonts w:ascii="Times New Roman" w:hAnsi="Times New Roman" w:eastAsia="微软雅黑" w:cs="宋体"/>
                <w:color w:val="000000"/>
                <w:kern w:val="0"/>
                <w:sz w:val="22"/>
                <w:szCs w:val="22"/>
              </w:rPr>
            </w:pPr>
          </w:p>
        </w:tc>
        <w:tc>
          <w:tcPr>
            <w:tcW w:w="6227" w:type="dxa"/>
            <w:vAlign w:val="center"/>
          </w:tcPr>
          <w:p w14:paraId="3B0D0DC0">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（2）用地毯清洗机进行整体清洗，除螨。</w:t>
            </w:r>
          </w:p>
        </w:tc>
      </w:tr>
      <w:tr w14:paraId="264FB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42F3478E">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9</w:t>
            </w:r>
          </w:p>
        </w:tc>
        <w:tc>
          <w:tcPr>
            <w:tcW w:w="1622" w:type="dxa"/>
            <w:vAlign w:val="center"/>
          </w:tcPr>
          <w:p w14:paraId="2847C34F">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乳胶漆内墙</w:t>
            </w:r>
          </w:p>
        </w:tc>
        <w:tc>
          <w:tcPr>
            <w:tcW w:w="6227" w:type="dxa"/>
            <w:vAlign w:val="center"/>
          </w:tcPr>
          <w:p w14:paraId="50851C45">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有污渍时用半干布擦拭。</w:t>
            </w:r>
          </w:p>
        </w:tc>
      </w:tr>
      <w:tr w14:paraId="01F31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175CCA53">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10</w:t>
            </w:r>
          </w:p>
        </w:tc>
        <w:tc>
          <w:tcPr>
            <w:tcW w:w="1622" w:type="dxa"/>
            <w:vAlign w:val="center"/>
          </w:tcPr>
          <w:p w14:paraId="598797C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墙纸内墙</w:t>
            </w:r>
          </w:p>
        </w:tc>
        <w:tc>
          <w:tcPr>
            <w:tcW w:w="6227" w:type="dxa"/>
            <w:vAlign w:val="center"/>
          </w:tcPr>
          <w:p w14:paraId="7571F505">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有污渍时用半干布擦拭。</w:t>
            </w:r>
          </w:p>
        </w:tc>
      </w:tr>
      <w:tr w14:paraId="6EFB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705FAAFF">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11</w:t>
            </w:r>
          </w:p>
        </w:tc>
        <w:tc>
          <w:tcPr>
            <w:tcW w:w="1622" w:type="dxa"/>
            <w:vAlign w:val="center"/>
          </w:tcPr>
          <w:p w14:paraId="029CECD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木饰面内墙</w:t>
            </w:r>
          </w:p>
        </w:tc>
        <w:tc>
          <w:tcPr>
            <w:tcW w:w="6227" w:type="dxa"/>
            <w:vAlign w:val="center"/>
          </w:tcPr>
          <w:p w14:paraId="7AE4694E">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有污渍时用中性清洁剂、半干布擦拭。</w:t>
            </w:r>
          </w:p>
        </w:tc>
      </w:tr>
      <w:tr w14:paraId="6195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5FD3AC1E">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12</w:t>
            </w:r>
          </w:p>
        </w:tc>
        <w:tc>
          <w:tcPr>
            <w:tcW w:w="1622" w:type="dxa"/>
            <w:vAlign w:val="center"/>
          </w:tcPr>
          <w:p w14:paraId="08C0B54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石材内墙</w:t>
            </w:r>
          </w:p>
        </w:tc>
        <w:tc>
          <w:tcPr>
            <w:tcW w:w="6227" w:type="dxa"/>
            <w:vAlign w:val="center"/>
          </w:tcPr>
          <w:p w14:paraId="1BECDC13">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有污渍时用半干布擦拭。</w:t>
            </w:r>
          </w:p>
        </w:tc>
      </w:tr>
      <w:tr w14:paraId="7B76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0AEE474A">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13</w:t>
            </w:r>
          </w:p>
        </w:tc>
        <w:tc>
          <w:tcPr>
            <w:tcW w:w="1622" w:type="dxa"/>
            <w:vAlign w:val="center"/>
          </w:tcPr>
          <w:p w14:paraId="11BDF563">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金属板内墙</w:t>
            </w:r>
          </w:p>
        </w:tc>
        <w:tc>
          <w:tcPr>
            <w:tcW w:w="6227" w:type="dxa"/>
            <w:vAlign w:val="center"/>
          </w:tcPr>
          <w:p w14:paraId="577E5050">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有污渍时用半干布擦拭。</w:t>
            </w:r>
          </w:p>
        </w:tc>
      </w:tr>
      <w:tr w14:paraId="2C68A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7A4974F3">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14</w:t>
            </w:r>
          </w:p>
        </w:tc>
        <w:tc>
          <w:tcPr>
            <w:tcW w:w="1622" w:type="dxa"/>
            <w:vAlign w:val="center"/>
          </w:tcPr>
          <w:p w14:paraId="2356D6FB">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涂料外墙</w:t>
            </w:r>
          </w:p>
        </w:tc>
        <w:tc>
          <w:tcPr>
            <w:tcW w:w="6227" w:type="dxa"/>
            <w:vAlign w:val="center"/>
          </w:tcPr>
          <w:p w14:paraId="7800D66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定期专业清洗。</w:t>
            </w:r>
          </w:p>
        </w:tc>
      </w:tr>
      <w:tr w14:paraId="60D6A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243CD423">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15</w:t>
            </w:r>
          </w:p>
        </w:tc>
        <w:tc>
          <w:tcPr>
            <w:tcW w:w="1622" w:type="dxa"/>
            <w:vAlign w:val="center"/>
          </w:tcPr>
          <w:p w14:paraId="04AAC0E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真石漆外墙</w:t>
            </w:r>
          </w:p>
        </w:tc>
        <w:tc>
          <w:tcPr>
            <w:tcW w:w="6227" w:type="dxa"/>
            <w:vAlign w:val="center"/>
          </w:tcPr>
          <w:p w14:paraId="07A44539">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定期专业清洗。</w:t>
            </w:r>
          </w:p>
        </w:tc>
      </w:tr>
      <w:tr w14:paraId="033A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5AE63D8C">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16</w:t>
            </w:r>
          </w:p>
        </w:tc>
        <w:tc>
          <w:tcPr>
            <w:tcW w:w="1622" w:type="dxa"/>
            <w:vAlign w:val="center"/>
          </w:tcPr>
          <w:p w14:paraId="4AFBFB81">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瓷砖外墙</w:t>
            </w:r>
          </w:p>
        </w:tc>
        <w:tc>
          <w:tcPr>
            <w:tcW w:w="6227" w:type="dxa"/>
            <w:vAlign w:val="center"/>
          </w:tcPr>
          <w:p w14:paraId="3BA44A01">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定期专业清洗。</w:t>
            </w:r>
          </w:p>
        </w:tc>
      </w:tr>
      <w:tr w14:paraId="7CA4C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3D6C5670">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17</w:t>
            </w:r>
          </w:p>
        </w:tc>
        <w:tc>
          <w:tcPr>
            <w:tcW w:w="1622" w:type="dxa"/>
            <w:vAlign w:val="center"/>
          </w:tcPr>
          <w:p w14:paraId="68785CD6">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铝板外墙</w:t>
            </w:r>
          </w:p>
        </w:tc>
        <w:tc>
          <w:tcPr>
            <w:tcW w:w="6227" w:type="dxa"/>
            <w:vAlign w:val="center"/>
          </w:tcPr>
          <w:p w14:paraId="47FC31CD">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定期专业清洗。</w:t>
            </w:r>
          </w:p>
        </w:tc>
      </w:tr>
      <w:tr w14:paraId="5E438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49C67584">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18</w:t>
            </w:r>
          </w:p>
        </w:tc>
        <w:tc>
          <w:tcPr>
            <w:tcW w:w="1622" w:type="dxa"/>
            <w:vAlign w:val="center"/>
          </w:tcPr>
          <w:p w14:paraId="4A36C643">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干挂石材外墙</w:t>
            </w:r>
          </w:p>
        </w:tc>
        <w:tc>
          <w:tcPr>
            <w:tcW w:w="6227" w:type="dxa"/>
            <w:vAlign w:val="center"/>
          </w:tcPr>
          <w:p w14:paraId="51F1CCCA">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定期专业清洗。</w:t>
            </w:r>
          </w:p>
        </w:tc>
      </w:tr>
      <w:tr w14:paraId="01B20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50" w:type="dxa"/>
            <w:vAlign w:val="center"/>
          </w:tcPr>
          <w:p w14:paraId="35200FDF">
            <w:pPr>
              <w:widowControl/>
              <w:adjustRightInd w:val="0"/>
              <w:snapToGrid w:val="0"/>
              <w:spacing w:after="200" w:line="360" w:lineRule="exact"/>
              <w:jc w:val="center"/>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19</w:t>
            </w:r>
          </w:p>
        </w:tc>
        <w:tc>
          <w:tcPr>
            <w:tcW w:w="1622" w:type="dxa"/>
            <w:vAlign w:val="center"/>
          </w:tcPr>
          <w:p w14:paraId="4EEB46DD">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玻璃幕墙外墙</w:t>
            </w:r>
          </w:p>
        </w:tc>
        <w:tc>
          <w:tcPr>
            <w:tcW w:w="6227" w:type="dxa"/>
            <w:vAlign w:val="center"/>
          </w:tcPr>
          <w:p w14:paraId="746F0662">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Times New Roman" w:hAnsi="Times New Roman" w:eastAsia="宋体" w:cs="宋体"/>
                <w:color w:val="000000"/>
                <w:kern w:val="0"/>
                <w:szCs w:val="22"/>
              </w:rPr>
              <w:t>定期专业清洗。</w:t>
            </w:r>
          </w:p>
        </w:tc>
      </w:tr>
    </w:tbl>
    <w:p w14:paraId="7A690CA0">
      <w:pPr>
        <w:spacing w:after="120"/>
        <w:ind w:firstLine="200"/>
        <w:rPr>
          <w:rFonts w:ascii="Times New Roman" w:hAnsi="Times New Roman" w:eastAsia="宋体" w:cs="Times New Roman"/>
          <w:kern w:val="0"/>
          <w:sz w:val="20"/>
          <w:szCs w:val="21"/>
        </w:rPr>
      </w:pPr>
    </w:p>
    <w:p w14:paraId="7A55CAA6">
      <w:pPr>
        <w:spacing w:after="120"/>
        <w:ind w:firstLine="200"/>
        <w:rPr>
          <w:rFonts w:ascii="Times New Roman" w:hAnsi="Times New Roman" w:eastAsia="宋体" w:cs="Times New Roman"/>
          <w:kern w:val="0"/>
          <w:sz w:val="20"/>
          <w:szCs w:val="21"/>
        </w:rPr>
      </w:pPr>
    </w:p>
    <w:p w14:paraId="23A54AA2">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四、物业管理服务人员要求</w:t>
      </w:r>
    </w:p>
    <w:p w14:paraId="0A9F9F69">
      <w:pPr>
        <w:widowControl/>
        <w:adjustRightInd w:val="0"/>
        <w:snapToGrid w:val="0"/>
        <w:spacing w:after="200"/>
        <w:jc w:val="left"/>
        <w:rPr>
          <w:rFonts w:ascii="Tahoma" w:hAnsi="Tahoma" w:eastAsia="微软雅黑" w:cs="Times New Roman"/>
          <w:b/>
          <w:bCs/>
          <w:color w:val="FF0000"/>
          <w:kern w:val="0"/>
          <w:sz w:val="28"/>
          <w:szCs w:val="32"/>
        </w:rPr>
      </w:pPr>
      <w:r>
        <w:rPr>
          <w:rFonts w:hint="eastAsia" w:ascii="Tahoma" w:hAnsi="Tahoma" w:eastAsia="微软雅黑" w:cs="Times New Roman"/>
          <w:b/>
          <w:bCs/>
          <w:color w:val="FF0000"/>
          <w:kern w:val="0"/>
          <w:sz w:val="28"/>
          <w:szCs w:val="32"/>
        </w:rPr>
        <w:t>以下人员配备为最低要求，不接受负偏离，投标文件中提供全部响应要求的承诺函电子件（加盖公章，承诺函格式附后），否则按无效标处理。</w:t>
      </w:r>
    </w:p>
    <w:tbl>
      <w:tblPr>
        <w:tblStyle w:val="2"/>
        <w:tblW w:w="8548"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818"/>
        <w:gridCol w:w="5700"/>
        <w:gridCol w:w="873"/>
      </w:tblGrid>
      <w:tr w14:paraId="30C58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157" w:type="dxa"/>
            <w:vAlign w:val="center"/>
          </w:tcPr>
          <w:p w14:paraId="69EE9668">
            <w:pPr>
              <w:widowControl/>
              <w:adjustRightInd w:val="0"/>
              <w:snapToGrid w:val="0"/>
              <w:spacing w:after="200" w:line="360" w:lineRule="exact"/>
              <w:jc w:val="center"/>
              <w:rPr>
                <w:rFonts w:ascii="宋体" w:hAnsi="宋体" w:eastAsia="微软雅黑" w:cs="宋体"/>
                <w:b/>
                <w:bCs/>
                <w:kern w:val="0"/>
                <w:sz w:val="22"/>
                <w:szCs w:val="21"/>
              </w:rPr>
            </w:pPr>
            <w:r>
              <w:rPr>
                <w:rFonts w:hint="eastAsia" w:ascii="宋体" w:hAnsi="宋体" w:eastAsia="微软雅黑" w:cs="宋体"/>
                <w:b/>
                <w:bCs/>
                <w:kern w:val="0"/>
                <w:sz w:val="22"/>
                <w:szCs w:val="21"/>
              </w:rPr>
              <w:t>岗位</w:t>
            </w:r>
          </w:p>
        </w:tc>
        <w:tc>
          <w:tcPr>
            <w:tcW w:w="818" w:type="dxa"/>
            <w:vAlign w:val="center"/>
          </w:tcPr>
          <w:p w14:paraId="59CF3609">
            <w:pPr>
              <w:widowControl/>
              <w:adjustRightInd w:val="0"/>
              <w:snapToGrid w:val="0"/>
              <w:spacing w:after="200" w:line="360" w:lineRule="exact"/>
              <w:jc w:val="center"/>
              <w:rPr>
                <w:rFonts w:ascii="宋体" w:hAnsi="宋体" w:eastAsia="微软雅黑" w:cs="宋体"/>
                <w:b/>
                <w:bCs/>
                <w:kern w:val="0"/>
                <w:sz w:val="22"/>
                <w:szCs w:val="21"/>
              </w:rPr>
            </w:pPr>
            <w:r>
              <w:rPr>
                <w:rFonts w:hint="eastAsia" w:ascii="宋体" w:hAnsi="宋体" w:eastAsia="微软雅黑" w:cs="宋体"/>
                <w:b/>
                <w:bCs/>
                <w:kern w:val="0"/>
                <w:sz w:val="22"/>
                <w:szCs w:val="21"/>
              </w:rPr>
              <w:t>所需人数</w:t>
            </w:r>
          </w:p>
        </w:tc>
        <w:tc>
          <w:tcPr>
            <w:tcW w:w="5700" w:type="dxa"/>
            <w:vAlign w:val="center"/>
          </w:tcPr>
          <w:p w14:paraId="5248FA43">
            <w:pPr>
              <w:widowControl/>
              <w:adjustRightInd w:val="0"/>
              <w:snapToGrid w:val="0"/>
              <w:spacing w:after="200" w:line="360" w:lineRule="exact"/>
              <w:jc w:val="center"/>
              <w:rPr>
                <w:rFonts w:ascii="宋体" w:hAnsi="宋体" w:eastAsia="微软雅黑" w:cs="宋体"/>
                <w:b/>
                <w:bCs/>
                <w:color w:val="000000"/>
                <w:kern w:val="0"/>
                <w:sz w:val="24"/>
                <w:szCs w:val="24"/>
              </w:rPr>
            </w:pPr>
            <w:r>
              <w:rPr>
                <w:rFonts w:hint="eastAsia" w:ascii="宋体" w:hAnsi="宋体" w:eastAsia="微软雅黑" w:cs="宋体"/>
                <w:b/>
                <w:bCs/>
                <w:kern w:val="0"/>
                <w:sz w:val="22"/>
                <w:szCs w:val="21"/>
              </w:rPr>
              <w:t>相关要求</w:t>
            </w:r>
          </w:p>
        </w:tc>
        <w:tc>
          <w:tcPr>
            <w:tcW w:w="873" w:type="dxa"/>
            <w:vAlign w:val="center"/>
          </w:tcPr>
          <w:p w14:paraId="09C67BAF">
            <w:pPr>
              <w:widowControl/>
              <w:adjustRightInd w:val="0"/>
              <w:snapToGrid w:val="0"/>
              <w:spacing w:after="200" w:line="360" w:lineRule="exact"/>
              <w:jc w:val="center"/>
              <w:rPr>
                <w:rFonts w:ascii="宋体" w:hAnsi="宋体" w:eastAsia="微软雅黑" w:cs="宋体"/>
                <w:b/>
                <w:bCs/>
                <w:kern w:val="0"/>
                <w:sz w:val="22"/>
                <w:szCs w:val="21"/>
              </w:rPr>
            </w:pPr>
            <w:r>
              <w:rPr>
                <w:rFonts w:hint="eastAsia" w:ascii="宋体" w:hAnsi="宋体" w:eastAsia="微软雅黑" w:cs="宋体"/>
                <w:b/>
                <w:bCs/>
                <w:kern w:val="0"/>
                <w:sz w:val="22"/>
                <w:szCs w:val="21"/>
              </w:rPr>
              <w:t>备注</w:t>
            </w:r>
          </w:p>
        </w:tc>
      </w:tr>
      <w:tr w14:paraId="5514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1157" w:type="dxa"/>
            <w:vAlign w:val="center"/>
          </w:tcPr>
          <w:p w14:paraId="5EB72304">
            <w:pPr>
              <w:widowControl/>
              <w:adjustRightInd w:val="0"/>
              <w:snapToGrid w:val="0"/>
              <w:spacing w:after="200" w:line="360" w:lineRule="exact"/>
              <w:jc w:val="left"/>
              <w:rPr>
                <w:rFonts w:ascii="Times New Roman" w:hAnsi="Times New Roman" w:eastAsia="微软雅黑" w:cs="宋体"/>
                <w:color w:val="000000"/>
                <w:kern w:val="0"/>
                <w:sz w:val="22"/>
                <w:szCs w:val="22"/>
              </w:rPr>
            </w:pPr>
            <w:r>
              <w:rPr>
                <w:rFonts w:hint="eastAsia" w:ascii="宋体" w:hAnsi="宋体" w:eastAsia="宋体" w:cs="Times New Roman"/>
                <w:color w:val="000000"/>
                <w:kern w:val="0"/>
                <w:sz w:val="22"/>
                <w:szCs w:val="21"/>
              </w:rPr>
              <w:t>项目经理</w:t>
            </w:r>
          </w:p>
        </w:tc>
        <w:tc>
          <w:tcPr>
            <w:tcW w:w="818" w:type="dxa"/>
            <w:vAlign w:val="center"/>
          </w:tcPr>
          <w:p w14:paraId="1AF1953C">
            <w:pPr>
              <w:widowControl/>
              <w:adjustRightInd w:val="0"/>
              <w:snapToGrid w:val="0"/>
              <w:spacing w:after="200" w:line="360" w:lineRule="exact"/>
              <w:jc w:val="center"/>
              <w:rPr>
                <w:rFonts w:ascii="宋体" w:hAnsi="宋体" w:eastAsia="宋体" w:cs="Times New Roman"/>
                <w:color w:val="000000"/>
                <w:kern w:val="0"/>
                <w:sz w:val="22"/>
                <w:szCs w:val="21"/>
              </w:rPr>
            </w:pPr>
            <w:r>
              <w:rPr>
                <w:rFonts w:hint="eastAsia" w:ascii="宋体" w:hAnsi="宋体" w:eastAsia="宋体" w:cs="Times New Roman"/>
                <w:color w:val="000000"/>
                <w:kern w:val="0"/>
                <w:sz w:val="22"/>
                <w:szCs w:val="21"/>
              </w:rPr>
              <w:t>1</w:t>
            </w:r>
          </w:p>
        </w:tc>
        <w:tc>
          <w:tcPr>
            <w:tcW w:w="5700" w:type="dxa"/>
            <w:vAlign w:val="center"/>
          </w:tcPr>
          <w:p w14:paraId="1A1A6D9A">
            <w:pPr>
              <w:widowControl/>
              <w:adjustRightInd w:val="0"/>
              <w:snapToGrid w:val="0"/>
              <w:spacing w:after="200" w:line="360" w:lineRule="exact"/>
              <w:jc w:val="left"/>
              <w:rPr>
                <w:rFonts w:ascii="Times New Roman" w:hAnsi="Times New Roman" w:eastAsia="微软雅黑" w:cs="宋体"/>
                <w:kern w:val="0"/>
                <w:sz w:val="22"/>
                <w:szCs w:val="22"/>
              </w:rPr>
            </w:pPr>
            <w:r>
              <w:rPr>
                <w:rFonts w:hint="eastAsia" w:ascii="宋体" w:hAnsi="宋体" w:eastAsia="宋体" w:cs="Times New Roman"/>
                <w:color w:val="000000"/>
                <w:kern w:val="0"/>
                <w:sz w:val="22"/>
                <w:szCs w:val="21"/>
              </w:rPr>
              <w:t>年龄50周岁（含）及以下，以身份证为准。熟悉物业管理相关法规， 并能规范组织管理服务工作，知识面广，专业技能熟练，有较强的组织领 导能力和协调能力。全面负责物业管理相关人员的管理、监督、指导、培训、考核等工作，服从采购人的管理和考核。</w:t>
            </w:r>
          </w:p>
        </w:tc>
        <w:tc>
          <w:tcPr>
            <w:tcW w:w="873" w:type="dxa"/>
            <w:vAlign w:val="center"/>
          </w:tcPr>
          <w:p w14:paraId="29E6B392">
            <w:pPr>
              <w:widowControl/>
              <w:adjustRightInd w:val="0"/>
              <w:snapToGrid w:val="0"/>
              <w:spacing w:after="200" w:line="360" w:lineRule="exact"/>
              <w:jc w:val="left"/>
              <w:rPr>
                <w:rFonts w:ascii="Times New Roman" w:hAnsi="Times New Roman" w:eastAsia="微软雅黑" w:cs="宋体"/>
                <w:kern w:val="0"/>
                <w:sz w:val="22"/>
                <w:szCs w:val="22"/>
              </w:rPr>
            </w:pPr>
          </w:p>
        </w:tc>
      </w:tr>
      <w:tr w14:paraId="37652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1157" w:type="dxa"/>
            <w:vAlign w:val="center"/>
          </w:tcPr>
          <w:p w14:paraId="08FC3A3F">
            <w:pPr>
              <w:widowControl/>
              <w:adjustRightInd w:val="0"/>
              <w:snapToGrid w:val="0"/>
              <w:spacing w:after="200" w:line="360" w:lineRule="exact"/>
              <w:jc w:val="center"/>
              <w:rPr>
                <w:rFonts w:ascii="宋体" w:hAnsi="宋体" w:eastAsia="宋体" w:cs="Times New Roman"/>
                <w:color w:val="000000"/>
                <w:kern w:val="0"/>
                <w:sz w:val="22"/>
                <w:szCs w:val="21"/>
              </w:rPr>
            </w:pPr>
            <w:r>
              <w:rPr>
                <w:rFonts w:hint="eastAsia" w:ascii="宋体" w:hAnsi="宋体" w:eastAsia="宋体" w:cs="Times New Roman"/>
                <w:color w:val="000000"/>
                <w:kern w:val="0"/>
                <w:sz w:val="22"/>
                <w:szCs w:val="21"/>
              </w:rPr>
              <w:t>会务保障人员</w:t>
            </w:r>
          </w:p>
        </w:tc>
        <w:tc>
          <w:tcPr>
            <w:tcW w:w="818" w:type="dxa"/>
            <w:vAlign w:val="center"/>
          </w:tcPr>
          <w:p w14:paraId="75ED6201">
            <w:pPr>
              <w:widowControl/>
              <w:adjustRightInd w:val="0"/>
              <w:snapToGrid w:val="0"/>
              <w:spacing w:after="200" w:line="360" w:lineRule="exact"/>
              <w:jc w:val="center"/>
              <w:rPr>
                <w:rFonts w:ascii="宋体" w:hAnsi="宋体" w:eastAsia="宋体" w:cs="Times New Roman"/>
                <w:color w:val="000000"/>
                <w:kern w:val="0"/>
                <w:sz w:val="22"/>
                <w:szCs w:val="21"/>
              </w:rPr>
            </w:pPr>
            <w:r>
              <w:rPr>
                <w:rFonts w:hint="eastAsia" w:ascii="宋体" w:hAnsi="宋体" w:eastAsia="宋体" w:cs="Times New Roman"/>
                <w:color w:val="000000"/>
                <w:kern w:val="0"/>
                <w:sz w:val="22"/>
                <w:szCs w:val="21"/>
              </w:rPr>
              <w:t>1</w:t>
            </w:r>
          </w:p>
        </w:tc>
        <w:tc>
          <w:tcPr>
            <w:tcW w:w="5700" w:type="dxa"/>
            <w:vAlign w:val="center"/>
          </w:tcPr>
          <w:p w14:paraId="489B81D9">
            <w:pPr>
              <w:widowControl/>
              <w:adjustRightInd w:val="0"/>
              <w:snapToGrid w:val="0"/>
              <w:spacing w:after="200" w:line="360" w:lineRule="exact"/>
              <w:jc w:val="left"/>
              <w:rPr>
                <w:rFonts w:ascii="宋体" w:hAnsi="宋体" w:eastAsia="宋体" w:cs="Times New Roman"/>
                <w:color w:val="000000"/>
                <w:kern w:val="0"/>
                <w:sz w:val="22"/>
                <w:szCs w:val="21"/>
              </w:rPr>
            </w:pPr>
            <w:r>
              <w:rPr>
                <w:rFonts w:hint="eastAsia" w:ascii="宋体" w:hAnsi="宋体" w:eastAsia="宋体" w:cs="Times New Roman"/>
                <w:color w:val="000000"/>
                <w:kern w:val="0"/>
                <w:sz w:val="22"/>
                <w:szCs w:val="21"/>
              </w:rPr>
              <w:t>女性、大专及以上学历、年龄在45周岁以下，形象佳，勤劳大方朴实，综合素质较高。</w:t>
            </w:r>
          </w:p>
        </w:tc>
        <w:tc>
          <w:tcPr>
            <w:tcW w:w="873" w:type="dxa"/>
            <w:vAlign w:val="center"/>
          </w:tcPr>
          <w:p w14:paraId="0354806B">
            <w:pPr>
              <w:widowControl/>
              <w:adjustRightInd w:val="0"/>
              <w:snapToGrid w:val="0"/>
              <w:spacing w:after="200" w:line="360" w:lineRule="exact"/>
              <w:jc w:val="left"/>
              <w:rPr>
                <w:rFonts w:ascii="Times New Roman" w:hAnsi="Times New Roman" w:eastAsia="微软雅黑" w:cs="宋体"/>
                <w:kern w:val="0"/>
                <w:sz w:val="22"/>
                <w:szCs w:val="22"/>
              </w:rPr>
            </w:pPr>
          </w:p>
        </w:tc>
      </w:tr>
      <w:tr w14:paraId="12D9A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157" w:type="dxa"/>
            <w:vAlign w:val="center"/>
          </w:tcPr>
          <w:p w14:paraId="1E55C76F">
            <w:pPr>
              <w:widowControl/>
              <w:adjustRightInd w:val="0"/>
              <w:snapToGrid w:val="0"/>
              <w:spacing w:after="200" w:line="360" w:lineRule="exact"/>
              <w:jc w:val="center"/>
              <w:rPr>
                <w:rFonts w:ascii="Times New Roman" w:hAnsi="Times New Roman" w:eastAsia="微软雅黑" w:cs="仿宋"/>
                <w:bCs/>
                <w:kern w:val="0"/>
                <w:sz w:val="22"/>
                <w:szCs w:val="24"/>
              </w:rPr>
            </w:pPr>
            <w:r>
              <w:rPr>
                <w:rFonts w:hint="eastAsia" w:ascii="宋体" w:hAnsi="宋体" w:eastAsia="微软雅黑" w:cs="Times New Roman"/>
                <w:color w:val="000000"/>
                <w:kern w:val="0"/>
                <w:sz w:val="22"/>
                <w:szCs w:val="21"/>
              </w:rPr>
              <w:t>保洁人员</w:t>
            </w:r>
          </w:p>
          <w:p w14:paraId="41072D61">
            <w:pPr>
              <w:widowControl/>
              <w:adjustRightInd w:val="0"/>
              <w:snapToGrid w:val="0"/>
              <w:spacing w:after="200" w:line="360" w:lineRule="exact"/>
              <w:jc w:val="center"/>
              <w:rPr>
                <w:rFonts w:ascii="Times New Roman" w:hAnsi="Times New Roman" w:eastAsia="微软雅黑" w:cs="仿宋"/>
                <w:bCs/>
                <w:kern w:val="0"/>
                <w:sz w:val="22"/>
                <w:szCs w:val="24"/>
              </w:rPr>
            </w:pPr>
          </w:p>
        </w:tc>
        <w:tc>
          <w:tcPr>
            <w:tcW w:w="818" w:type="dxa"/>
            <w:vAlign w:val="center"/>
          </w:tcPr>
          <w:p w14:paraId="2302802A">
            <w:pPr>
              <w:widowControl/>
              <w:adjustRightInd w:val="0"/>
              <w:snapToGrid w:val="0"/>
              <w:spacing w:after="200" w:line="360" w:lineRule="exact"/>
              <w:jc w:val="center"/>
              <w:rPr>
                <w:rFonts w:ascii="宋体" w:hAnsi="宋体" w:eastAsia="宋体" w:cs="Times New Roman"/>
                <w:color w:val="000000"/>
                <w:kern w:val="0"/>
                <w:sz w:val="22"/>
                <w:szCs w:val="21"/>
              </w:rPr>
            </w:pPr>
            <w:r>
              <w:rPr>
                <w:rFonts w:hint="eastAsia" w:ascii="宋体" w:hAnsi="宋体" w:eastAsia="宋体" w:cs="Times New Roman"/>
                <w:color w:val="000000"/>
                <w:kern w:val="0"/>
                <w:sz w:val="22"/>
                <w:szCs w:val="21"/>
              </w:rPr>
              <w:t>33</w:t>
            </w:r>
          </w:p>
        </w:tc>
        <w:tc>
          <w:tcPr>
            <w:tcW w:w="5700" w:type="dxa"/>
            <w:vAlign w:val="center"/>
          </w:tcPr>
          <w:p w14:paraId="2E4147FC">
            <w:pPr>
              <w:widowControl/>
              <w:adjustRightInd w:val="0"/>
              <w:snapToGrid w:val="0"/>
              <w:spacing w:after="200" w:line="360" w:lineRule="exact"/>
              <w:jc w:val="left"/>
              <w:rPr>
                <w:rFonts w:ascii="Times New Roman" w:hAnsi="Times New Roman" w:eastAsia="微软雅黑" w:cs="宋体"/>
                <w:kern w:val="0"/>
                <w:sz w:val="22"/>
                <w:szCs w:val="22"/>
              </w:rPr>
            </w:pPr>
            <w:r>
              <w:rPr>
                <w:rFonts w:hint="eastAsia" w:ascii="宋体" w:hAnsi="宋体" w:eastAsia="宋体" w:cs="Times New Roman"/>
                <w:color w:val="000000"/>
                <w:kern w:val="0"/>
                <w:sz w:val="22"/>
                <w:szCs w:val="21"/>
              </w:rPr>
              <w:t>女保洁员年龄60周岁（含）以下，以身份证为准，男保洁员年龄65周岁（含）以下，以身份证为准，负责区域保洁工作，遵守学校的相关纪律要求，品德高尚，作风正派，关心热爱学生，身心健康，吃苦耐劳。</w:t>
            </w:r>
          </w:p>
        </w:tc>
        <w:tc>
          <w:tcPr>
            <w:tcW w:w="873" w:type="dxa"/>
            <w:vAlign w:val="center"/>
          </w:tcPr>
          <w:p w14:paraId="37E931DB">
            <w:pPr>
              <w:widowControl/>
              <w:adjustRightInd w:val="0"/>
              <w:snapToGrid w:val="0"/>
              <w:spacing w:after="200" w:line="360" w:lineRule="exact"/>
              <w:jc w:val="left"/>
              <w:rPr>
                <w:rFonts w:ascii="Times New Roman" w:hAnsi="Times New Roman" w:eastAsia="微软雅黑" w:cs="宋体"/>
                <w:kern w:val="0"/>
                <w:sz w:val="22"/>
                <w:szCs w:val="22"/>
              </w:rPr>
            </w:pPr>
          </w:p>
        </w:tc>
      </w:tr>
      <w:tr w14:paraId="537D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8548" w:type="dxa"/>
            <w:gridSpan w:val="4"/>
            <w:vAlign w:val="center"/>
          </w:tcPr>
          <w:p w14:paraId="073DF613">
            <w:pPr>
              <w:widowControl/>
              <w:adjustRightInd w:val="0"/>
              <w:snapToGrid w:val="0"/>
              <w:spacing w:after="200" w:line="480" w:lineRule="exact"/>
              <w:ind w:firstLine="560"/>
              <w:jc w:val="left"/>
              <w:rPr>
                <w:rFonts w:ascii="Times New Roman" w:hAnsi="Times New Roman" w:eastAsia="微软雅黑" w:cs="宋体"/>
                <w:color w:val="000000"/>
                <w:kern w:val="0"/>
                <w:sz w:val="22"/>
                <w:szCs w:val="22"/>
              </w:rPr>
            </w:pPr>
            <w:r>
              <w:rPr>
                <w:rFonts w:hint="eastAsia" w:ascii="宋体" w:hAnsi="宋体" w:eastAsia="宋体" w:cs="Times New Roman"/>
                <w:color w:val="000000"/>
                <w:kern w:val="0"/>
                <w:sz w:val="22"/>
                <w:szCs w:val="21"/>
              </w:rPr>
              <w:t>具体人员分配：厚德楼和知止楼1人；行健楼和乐知楼1人；图文信息楼5人（含会务人员1名）；1、2、3号实训基地各1人；笃行楼和敏行楼共3人；艺术楼1人；校园内巡回保洁、垃圾清运1人；8栋学生公寓共19人。</w:t>
            </w:r>
          </w:p>
        </w:tc>
      </w:tr>
    </w:tbl>
    <w:p w14:paraId="21964D1A">
      <w:pPr>
        <w:widowControl/>
        <w:spacing w:line="400" w:lineRule="exact"/>
        <w:ind w:firstLine="480"/>
        <w:jc w:val="left"/>
        <w:rPr>
          <w:rFonts w:ascii="宋体" w:hAnsi="宋体" w:eastAsia="宋体" w:cs="宋体"/>
          <w:color w:val="FF0000"/>
          <w:kern w:val="0"/>
          <w:sz w:val="24"/>
          <w:szCs w:val="24"/>
        </w:rPr>
      </w:pPr>
    </w:p>
    <w:p w14:paraId="596F6FDE">
      <w:pPr>
        <w:widowControl/>
        <w:spacing w:line="4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注：</w:t>
      </w:r>
      <w:r>
        <w:rPr>
          <w:rFonts w:hint="eastAsia" w:ascii="宋体" w:hAnsi="宋体" w:eastAsia="宋体" w:cs="宋体"/>
          <w:kern w:val="0"/>
          <w:sz w:val="24"/>
          <w:szCs w:val="24"/>
        </w:rPr>
        <w:t>1.除项目经理外，其他成员可在中标后按要求聘用相关人员，并依法签订劳动合同。所有人员进场前必须提供是否有违法犯罪记录证明，审查不通过不予留用，不得兼职。</w:t>
      </w:r>
    </w:p>
    <w:p w14:paraId="3E962F62">
      <w:pPr>
        <w:widowControl/>
        <w:spacing w:line="4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2.中标人须严格按照投标文件配备项目经理，项目经理试用期为 1 个月，试用期满后采购人视项目经理试用期表现决定是否继续留用，如若更换，中标单位需在一周内更换到位，由此造成的损失由中标单位负责；项目经理岗位空缺期间，采购人记录扣除中标人服务费 500 元/天；除因项目经理不称职而采购人要求更换外，中标人因自身原因更换项目经理的不得超过 1 次，否则每多一次，采购人扣除中标人5000元/月服务费。</w:t>
      </w:r>
    </w:p>
    <w:p w14:paraId="11B053AF">
      <w:pPr>
        <w:widowControl/>
        <w:spacing w:line="4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3.采购方有权根据工作表现、工作需求提出更换人员，中标人需在采购方提出需求一个月内完成人员更换，并完成更换人员的费用结算。</w:t>
      </w:r>
    </w:p>
    <w:p w14:paraId="0D869455">
      <w:pPr>
        <w:widowControl/>
        <w:spacing w:line="400" w:lineRule="exact"/>
        <w:ind w:firstLine="482"/>
        <w:jc w:val="left"/>
        <w:rPr>
          <w:rFonts w:ascii="宋体" w:hAnsi="宋体" w:eastAsia="宋体" w:cs="宋体"/>
          <w:kern w:val="0"/>
          <w:sz w:val="24"/>
          <w:szCs w:val="24"/>
        </w:rPr>
      </w:pPr>
      <w:r>
        <w:rPr>
          <w:rFonts w:hint="eastAsia" w:ascii="宋体" w:hAnsi="宋体" w:eastAsia="宋体" w:cs="宋体"/>
          <w:kern w:val="0"/>
          <w:sz w:val="24"/>
          <w:szCs w:val="24"/>
        </w:rPr>
        <w:t>4.一般工作人员年流失率不得超过15%（从</w:t>
      </w:r>
      <w:bookmarkStart w:id="3" w:name="OLE_LINK70"/>
      <w:r>
        <w:rPr>
          <w:rFonts w:hint="eastAsia" w:ascii="宋体" w:hAnsi="宋体" w:eastAsia="宋体" w:cs="宋体"/>
          <w:kern w:val="0"/>
          <w:sz w:val="24"/>
          <w:szCs w:val="24"/>
        </w:rPr>
        <w:t>中标人</w:t>
      </w:r>
      <w:bookmarkEnd w:id="3"/>
      <w:r>
        <w:rPr>
          <w:rFonts w:hint="eastAsia" w:ascii="宋体" w:hAnsi="宋体" w:eastAsia="宋体" w:cs="宋体"/>
          <w:kern w:val="0"/>
          <w:sz w:val="24"/>
          <w:szCs w:val="24"/>
        </w:rPr>
        <w:t>接管满三个月起计算），每超过一个百分点，中标人须向采购人支付违约金 10000 元，该费用从当月物业服务费中扣除。</w:t>
      </w:r>
    </w:p>
    <w:p w14:paraId="4F58D63A">
      <w:pPr>
        <w:widowControl/>
        <w:spacing w:line="400" w:lineRule="exact"/>
        <w:ind w:firstLine="482"/>
        <w:jc w:val="left"/>
        <w:rPr>
          <w:rFonts w:ascii="宋体" w:hAnsi="宋体" w:eastAsia="宋体" w:cs="宋体"/>
          <w:kern w:val="0"/>
          <w:sz w:val="24"/>
          <w:szCs w:val="24"/>
        </w:rPr>
      </w:pPr>
      <w:r>
        <w:rPr>
          <w:rFonts w:hint="eastAsia" w:ascii="宋体" w:hAnsi="宋体" w:eastAsia="宋体" w:cs="宋体"/>
          <w:kern w:val="0"/>
          <w:sz w:val="24"/>
          <w:szCs w:val="24"/>
        </w:rPr>
        <w:t>5.所有聘用人员均须有健康证，无重大疾病和传染病，均无犯罪记录，未受过刑事处罚，未有相关法律纠纷。由中标人按照相关要求招聘，并获采购方认可后进场。</w:t>
      </w:r>
    </w:p>
    <w:p w14:paraId="53C203E3">
      <w:pPr>
        <w:spacing w:line="400" w:lineRule="exact"/>
        <w:ind w:firstLine="482"/>
        <w:rPr>
          <w:rFonts w:ascii="宋体" w:hAnsi="宋体" w:eastAsia="宋体" w:cs="宋体"/>
          <w:kern w:val="0"/>
          <w:sz w:val="24"/>
          <w:szCs w:val="24"/>
        </w:rPr>
      </w:pPr>
      <w:r>
        <w:rPr>
          <w:rFonts w:hint="eastAsia" w:ascii="宋体" w:hAnsi="宋体" w:eastAsia="宋体" w:cs="宋体"/>
          <w:kern w:val="0"/>
          <w:sz w:val="24"/>
          <w:szCs w:val="24"/>
        </w:rPr>
        <w:t>6.中标人在中标结果公告发出之日起7日内将所有人员资料交采购人审核，以上聘用的人员经采购人审核书面同意后方可上岗。</w:t>
      </w:r>
    </w:p>
    <w:p w14:paraId="6FB28706">
      <w:pPr>
        <w:spacing w:line="400" w:lineRule="exact"/>
        <w:ind w:firstLine="482"/>
        <w:rPr>
          <w:rFonts w:ascii="宋体" w:hAnsi="宋体" w:eastAsia="宋体" w:cs="宋体"/>
          <w:kern w:val="0"/>
          <w:sz w:val="24"/>
          <w:szCs w:val="24"/>
        </w:rPr>
      </w:pPr>
      <w:r>
        <w:rPr>
          <w:rFonts w:hint="eastAsia" w:ascii="宋体" w:hAnsi="宋体" w:eastAsia="宋体" w:cs="宋体"/>
          <w:kern w:val="0"/>
          <w:sz w:val="24"/>
          <w:szCs w:val="24"/>
        </w:rPr>
        <w:t>7.如因中标人项目组成员疏忽或失职造成贵重物品被盗、毁坏或发生重大安全事故，中标人承担一切赔偿责任。履约期间，如若发生项目组成员工伤或遇项目组成员造成自身或他人人身伤亡事故及财产损失，均由中标人负责，与采购方无关。</w:t>
      </w:r>
    </w:p>
    <w:p w14:paraId="0C0B8DB2">
      <w:pPr>
        <w:widowControl/>
        <w:adjustRightInd w:val="0"/>
        <w:snapToGrid w:val="0"/>
        <w:spacing w:line="400" w:lineRule="exact"/>
        <w:ind w:firstLine="482"/>
        <w:jc w:val="left"/>
        <w:rPr>
          <w:rFonts w:ascii="宋体" w:hAnsi="宋体" w:eastAsia="宋体" w:cs="宋体"/>
          <w:kern w:val="0"/>
          <w:sz w:val="24"/>
          <w:szCs w:val="24"/>
        </w:rPr>
      </w:pPr>
      <w:r>
        <w:rPr>
          <w:rFonts w:hint="eastAsia" w:ascii="宋体" w:hAnsi="宋体" w:eastAsia="宋体" w:cs="宋体"/>
          <w:kern w:val="0"/>
          <w:sz w:val="24"/>
          <w:szCs w:val="24"/>
        </w:rPr>
        <w:t>8.履约过程中，中标人须按月及时足额发放聘用人员工资，不得以任何借口拖欠或延迟发放，否则由此造成的纠纷均由中标单位全权负责。</w:t>
      </w:r>
    </w:p>
    <w:p w14:paraId="5C56852D">
      <w:pPr>
        <w:widowControl/>
        <w:adjustRightInd w:val="0"/>
        <w:snapToGrid w:val="0"/>
        <w:spacing w:line="400" w:lineRule="exact"/>
        <w:ind w:firstLine="482"/>
        <w:jc w:val="left"/>
        <w:rPr>
          <w:rFonts w:ascii="宋体" w:hAnsi="宋体" w:eastAsia="宋体" w:cs="宋体"/>
          <w:kern w:val="0"/>
          <w:sz w:val="24"/>
          <w:szCs w:val="24"/>
        </w:rPr>
      </w:pPr>
      <w:r>
        <w:rPr>
          <w:rFonts w:hint="eastAsia" w:ascii="宋体" w:hAnsi="宋体" w:eastAsia="宋体" w:cs="宋体"/>
          <w:kern w:val="0"/>
          <w:sz w:val="24"/>
          <w:szCs w:val="24"/>
        </w:rPr>
        <w:t>9.履约过程中，中标人须按照国家及地方规定按月给符合缴纳社保成员全额缴纳社保、全员购买意外险（或雇主责任险），否则由此造成的纠纷均由中标单位全权负责。</w:t>
      </w:r>
    </w:p>
    <w:p w14:paraId="2E397B5A">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五、考核标准</w:t>
      </w:r>
      <w:bookmarkStart w:id="5" w:name="_GoBack"/>
      <w:bookmarkEnd w:id="5"/>
    </w:p>
    <w:p w14:paraId="7E4DA6EE">
      <w:pPr>
        <w:widowControl/>
        <w:adjustRightInd w:val="0"/>
        <w:snapToGrid w:val="0"/>
        <w:spacing w:after="200" w:line="480" w:lineRule="exact"/>
        <w:ind w:firstLine="562"/>
        <w:jc w:val="left"/>
        <w:rPr>
          <w:rFonts w:ascii="宋体" w:hAnsi="宋体" w:eastAsia="微软雅黑" w:cs="Times New Roman"/>
          <w:b/>
          <w:bCs/>
          <w:color w:val="000000"/>
          <w:kern w:val="0"/>
          <w:sz w:val="22"/>
          <w:szCs w:val="21"/>
        </w:rPr>
      </w:pPr>
      <w:r>
        <w:rPr>
          <w:rFonts w:ascii="宋体" w:hAnsi="宋体" w:eastAsia="微软雅黑" w:cs="Times New Roman"/>
          <w:b/>
          <w:bCs/>
          <w:color w:val="000000"/>
          <w:kern w:val="0"/>
          <w:sz w:val="22"/>
          <w:szCs w:val="21"/>
        </w:rPr>
        <w:t>（一）日常考核办法</w:t>
      </w:r>
    </w:p>
    <w:tbl>
      <w:tblPr>
        <w:tblStyle w:val="2"/>
        <w:tblW w:w="8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720"/>
        <w:gridCol w:w="6150"/>
        <w:gridCol w:w="836"/>
      </w:tblGrid>
      <w:tr w14:paraId="48E0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Align w:val="center"/>
          </w:tcPr>
          <w:p w14:paraId="4391B268">
            <w:pPr>
              <w:widowControl/>
              <w:adjustRightInd w:val="0"/>
              <w:snapToGrid w:val="0"/>
              <w:spacing w:after="200" w:line="400" w:lineRule="exact"/>
              <w:jc w:val="center"/>
              <w:rPr>
                <w:rFonts w:ascii="Times New Roman" w:hAnsi="Times New Roman" w:eastAsia="微软雅黑" w:cs="Times New Roman"/>
                <w:b/>
                <w:color w:val="000000"/>
                <w:kern w:val="0"/>
                <w:sz w:val="22"/>
                <w:szCs w:val="21"/>
              </w:rPr>
            </w:pPr>
            <w:r>
              <w:rPr>
                <w:rFonts w:ascii="Times New Roman" w:hAnsi="Times New Roman" w:eastAsia="微软雅黑" w:cs="Times New Roman"/>
                <w:b/>
                <w:color w:val="000000"/>
                <w:kern w:val="0"/>
                <w:szCs w:val="21"/>
              </w:rPr>
              <w:t>项目</w:t>
            </w:r>
          </w:p>
        </w:tc>
        <w:tc>
          <w:tcPr>
            <w:tcW w:w="720" w:type="dxa"/>
            <w:vAlign w:val="center"/>
          </w:tcPr>
          <w:p w14:paraId="17942600">
            <w:pPr>
              <w:widowControl/>
              <w:adjustRightInd w:val="0"/>
              <w:snapToGrid w:val="0"/>
              <w:spacing w:after="200" w:line="400" w:lineRule="exact"/>
              <w:jc w:val="center"/>
              <w:rPr>
                <w:rFonts w:ascii="Times New Roman" w:hAnsi="Times New Roman" w:eastAsia="微软雅黑" w:cs="Times New Roman"/>
                <w:b/>
                <w:color w:val="000000"/>
                <w:kern w:val="0"/>
                <w:sz w:val="22"/>
                <w:szCs w:val="21"/>
              </w:rPr>
            </w:pPr>
            <w:r>
              <w:rPr>
                <w:rFonts w:ascii="Times New Roman" w:hAnsi="Times New Roman" w:eastAsia="微软雅黑" w:cs="Times New Roman"/>
                <w:b/>
                <w:color w:val="000000"/>
                <w:kern w:val="0"/>
                <w:szCs w:val="21"/>
              </w:rPr>
              <w:t>序号</w:t>
            </w:r>
          </w:p>
        </w:tc>
        <w:tc>
          <w:tcPr>
            <w:tcW w:w="6150" w:type="dxa"/>
            <w:vAlign w:val="center"/>
          </w:tcPr>
          <w:p w14:paraId="0E75FEE0">
            <w:pPr>
              <w:widowControl/>
              <w:adjustRightInd w:val="0"/>
              <w:snapToGrid w:val="0"/>
              <w:spacing w:after="200" w:line="400" w:lineRule="exact"/>
              <w:jc w:val="center"/>
              <w:rPr>
                <w:rFonts w:ascii="Times New Roman" w:hAnsi="Times New Roman" w:eastAsia="微软雅黑" w:cs="Times New Roman"/>
                <w:b/>
                <w:color w:val="000000"/>
                <w:kern w:val="0"/>
                <w:sz w:val="22"/>
                <w:szCs w:val="21"/>
              </w:rPr>
            </w:pPr>
            <w:r>
              <w:rPr>
                <w:rFonts w:ascii="Times New Roman" w:hAnsi="Times New Roman" w:eastAsia="微软雅黑" w:cs="Times New Roman"/>
                <w:b/>
                <w:color w:val="000000"/>
                <w:kern w:val="0"/>
                <w:szCs w:val="21"/>
              </w:rPr>
              <w:t>服务事项及扣分标准</w:t>
            </w:r>
          </w:p>
        </w:tc>
        <w:tc>
          <w:tcPr>
            <w:tcW w:w="836" w:type="dxa"/>
            <w:vAlign w:val="center"/>
          </w:tcPr>
          <w:p w14:paraId="5C775613">
            <w:pPr>
              <w:widowControl/>
              <w:adjustRightInd w:val="0"/>
              <w:snapToGrid w:val="0"/>
              <w:spacing w:after="200" w:line="480" w:lineRule="exact"/>
              <w:jc w:val="center"/>
              <w:rPr>
                <w:rFonts w:ascii="宋体" w:hAnsi="宋体" w:eastAsia="微软雅黑" w:cs="Times New Roman"/>
                <w:b/>
                <w:color w:val="000000"/>
                <w:kern w:val="0"/>
                <w:sz w:val="22"/>
                <w:szCs w:val="21"/>
              </w:rPr>
            </w:pPr>
            <w:r>
              <w:rPr>
                <w:rFonts w:ascii="宋体" w:hAnsi="宋体" w:eastAsia="微软雅黑" w:cs="Times New Roman"/>
                <w:b/>
                <w:color w:val="000000"/>
                <w:kern w:val="0"/>
                <w:sz w:val="22"/>
                <w:szCs w:val="21"/>
              </w:rPr>
              <w:t>扣分</w:t>
            </w:r>
          </w:p>
        </w:tc>
      </w:tr>
      <w:tr w14:paraId="75407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09" w:type="dxa"/>
            <w:vMerge w:val="restart"/>
            <w:vAlign w:val="center"/>
          </w:tcPr>
          <w:p w14:paraId="24642C52">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人员要求</w:t>
            </w:r>
          </w:p>
        </w:tc>
        <w:tc>
          <w:tcPr>
            <w:tcW w:w="720" w:type="dxa"/>
            <w:vAlign w:val="center"/>
          </w:tcPr>
          <w:p w14:paraId="00C10FFF">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1</w:t>
            </w:r>
          </w:p>
        </w:tc>
        <w:tc>
          <w:tcPr>
            <w:tcW w:w="6150" w:type="dxa"/>
            <w:vAlign w:val="center"/>
          </w:tcPr>
          <w:p w14:paraId="5F7976D2">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人员数量和资质符合要求，违反扣5分/次。</w:t>
            </w:r>
          </w:p>
        </w:tc>
        <w:tc>
          <w:tcPr>
            <w:tcW w:w="836" w:type="dxa"/>
            <w:vAlign w:val="center"/>
          </w:tcPr>
          <w:p w14:paraId="09E62EDF">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417D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809" w:type="dxa"/>
            <w:vMerge w:val="continue"/>
            <w:vAlign w:val="center"/>
          </w:tcPr>
          <w:p w14:paraId="413F5E7C">
            <w:pPr>
              <w:widowControl/>
              <w:adjustRightInd w:val="0"/>
              <w:snapToGrid w:val="0"/>
              <w:spacing w:after="200" w:line="400" w:lineRule="exact"/>
              <w:jc w:val="left"/>
              <w:rPr>
                <w:rFonts w:ascii="Times New Roman" w:hAnsi="Times New Roman" w:eastAsia="微软雅黑" w:cs="Times New Roman"/>
                <w:color w:val="000000"/>
                <w:kern w:val="0"/>
                <w:sz w:val="22"/>
                <w:szCs w:val="21"/>
              </w:rPr>
            </w:pPr>
          </w:p>
        </w:tc>
        <w:tc>
          <w:tcPr>
            <w:tcW w:w="720" w:type="dxa"/>
            <w:vAlign w:val="center"/>
          </w:tcPr>
          <w:p w14:paraId="2E3E3A90">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2</w:t>
            </w:r>
          </w:p>
        </w:tc>
        <w:tc>
          <w:tcPr>
            <w:tcW w:w="6150" w:type="dxa"/>
            <w:vAlign w:val="center"/>
          </w:tcPr>
          <w:p w14:paraId="47AD8E60">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工作形象良好，工作期间精神饱满、坐姿端正、站姿挺立、使用文明用语，不做与工作无关的事情（如聊天、吃东西、玩手机等），违反扣1分/次；严禁酒后上岗，违反扣</w:t>
            </w:r>
            <w:r>
              <w:rPr>
                <w:rFonts w:hint="eastAsia" w:ascii="Times New Roman" w:hAnsi="Times New Roman" w:eastAsia="微软雅黑" w:cs="Times New Roman"/>
                <w:color w:val="000000"/>
                <w:kern w:val="0"/>
                <w:szCs w:val="21"/>
              </w:rPr>
              <w:t>5</w:t>
            </w:r>
            <w:r>
              <w:rPr>
                <w:rFonts w:ascii="Times New Roman" w:hAnsi="Times New Roman" w:eastAsia="微软雅黑" w:cs="Times New Roman"/>
                <w:color w:val="000000"/>
                <w:kern w:val="0"/>
                <w:szCs w:val="21"/>
              </w:rPr>
              <w:t>分/次。</w:t>
            </w:r>
          </w:p>
        </w:tc>
        <w:tc>
          <w:tcPr>
            <w:tcW w:w="836" w:type="dxa"/>
            <w:vAlign w:val="center"/>
          </w:tcPr>
          <w:p w14:paraId="7CA367F5">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3B5CD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09" w:type="dxa"/>
            <w:vMerge w:val="restart"/>
            <w:vAlign w:val="center"/>
          </w:tcPr>
          <w:p w14:paraId="67424CE3">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保洁保障情况</w:t>
            </w:r>
          </w:p>
        </w:tc>
        <w:tc>
          <w:tcPr>
            <w:tcW w:w="720" w:type="dxa"/>
            <w:vAlign w:val="center"/>
          </w:tcPr>
          <w:p w14:paraId="320F8F9B">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hint="eastAsia" w:ascii="Times New Roman" w:hAnsi="Times New Roman" w:eastAsia="微软雅黑" w:cs="Times New Roman"/>
                <w:color w:val="000000"/>
                <w:kern w:val="0"/>
                <w:szCs w:val="21"/>
              </w:rPr>
              <w:t>3</w:t>
            </w:r>
          </w:p>
        </w:tc>
        <w:tc>
          <w:tcPr>
            <w:tcW w:w="6150" w:type="dxa"/>
            <w:vAlign w:val="center"/>
          </w:tcPr>
          <w:p w14:paraId="2F2114F9">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保洁按时到岗到位，违反扣2分/次。</w:t>
            </w:r>
          </w:p>
        </w:tc>
        <w:tc>
          <w:tcPr>
            <w:tcW w:w="836" w:type="dxa"/>
            <w:vAlign w:val="center"/>
          </w:tcPr>
          <w:p w14:paraId="73CF120B">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3EB8D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Merge w:val="continue"/>
            <w:vAlign w:val="center"/>
          </w:tcPr>
          <w:p w14:paraId="6595AD36">
            <w:pPr>
              <w:widowControl/>
              <w:adjustRightInd w:val="0"/>
              <w:snapToGrid w:val="0"/>
              <w:spacing w:after="200" w:line="400" w:lineRule="exact"/>
              <w:jc w:val="left"/>
              <w:rPr>
                <w:rFonts w:ascii="Times New Roman" w:hAnsi="Times New Roman" w:eastAsia="微软雅黑" w:cs="Times New Roman"/>
                <w:color w:val="000000"/>
                <w:kern w:val="0"/>
                <w:sz w:val="22"/>
                <w:szCs w:val="21"/>
              </w:rPr>
            </w:pPr>
          </w:p>
        </w:tc>
        <w:tc>
          <w:tcPr>
            <w:tcW w:w="720" w:type="dxa"/>
            <w:vAlign w:val="center"/>
          </w:tcPr>
          <w:p w14:paraId="4E3759D3">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hint="eastAsia" w:ascii="Times New Roman" w:hAnsi="Times New Roman" w:eastAsia="微软雅黑" w:cs="Times New Roman"/>
                <w:color w:val="000000"/>
                <w:kern w:val="0"/>
                <w:szCs w:val="21"/>
              </w:rPr>
              <w:t>4</w:t>
            </w:r>
          </w:p>
        </w:tc>
        <w:tc>
          <w:tcPr>
            <w:tcW w:w="6150" w:type="dxa"/>
            <w:vAlign w:val="center"/>
          </w:tcPr>
          <w:p w14:paraId="477E6A45">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公共区域内无卫生死角，无蛛网、灰尘、污迹、垃圾以及杂物，卫生间无污水、无异味，违反扣2分/次。</w:t>
            </w:r>
          </w:p>
        </w:tc>
        <w:tc>
          <w:tcPr>
            <w:tcW w:w="836" w:type="dxa"/>
            <w:vAlign w:val="center"/>
          </w:tcPr>
          <w:p w14:paraId="6EADB2A7">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568B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9" w:type="dxa"/>
            <w:vMerge w:val="restart"/>
            <w:vAlign w:val="center"/>
          </w:tcPr>
          <w:p w14:paraId="3B6A2E19">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服务效能</w:t>
            </w:r>
          </w:p>
        </w:tc>
        <w:tc>
          <w:tcPr>
            <w:tcW w:w="720" w:type="dxa"/>
            <w:vAlign w:val="center"/>
          </w:tcPr>
          <w:p w14:paraId="3587FCA3">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hint="eastAsia" w:ascii="Times New Roman" w:hAnsi="Times New Roman" w:eastAsia="微软雅黑" w:cs="Times New Roman"/>
                <w:color w:val="000000"/>
                <w:kern w:val="0"/>
                <w:szCs w:val="21"/>
              </w:rPr>
              <w:t>5</w:t>
            </w:r>
          </w:p>
        </w:tc>
        <w:tc>
          <w:tcPr>
            <w:tcW w:w="6150" w:type="dxa"/>
            <w:vAlign w:val="center"/>
          </w:tcPr>
          <w:p w14:paraId="62232DB9">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对交办的任务不能按时按质按量完成、上级视察直接批评的，扣2分/次。</w:t>
            </w:r>
          </w:p>
        </w:tc>
        <w:tc>
          <w:tcPr>
            <w:tcW w:w="836" w:type="dxa"/>
            <w:vAlign w:val="center"/>
          </w:tcPr>
          <w:p w14:paraId="24C8B3C1">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4F87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809" w:type="dxa"/>
            <w:vMerge w:val="continue"/>
            <w:vAlign w:val="center"/>
          </w:tcPr>
          <w:p w14:paraId="12E836AA">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p>
        </w:tc>
        <w:tc>
          <w:tcPr>
            <w:tcW w:w="720" w:type="dxa"/>
            <w:vAlign w:val="center"/>
          </w:tcPr>
          <w:p w14:paraId="5C66AD45">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hint="eastAsia" w:ascii="Times New Roman" w:hAnsi="Times New Roman" w:eastAsia="微软雅黑" w:cs="Times New Roman"/>
                <w:color w:val="000000"/>
                <w:kern w:val="0"/>
                <w:szCs w:val="21"/>
              </w:rPr>
              <w:t>6</w:t>
            </w:r>
          </w:p>
        </w:tc>
        <w:tc>
          <w:tcPr>
            <w:tcW w:w="6150" w:type="dxa"/>
            <w:vAlign w:val="center"/>
          </w:tcPr>
          <w:p w14:paraId="0637F374">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因工作失职，致使服务区域出现财产损失的扣10分/次。</w:t>
            </w:r>
          </w:p>
        </w:tc>
        <w:tc>
          <w:tcPr>
            <w:tcW w:w="836" w:type="dxa"/>
            <w:vAlign w:val="center"/>
          </w:tcPr>
          <w:p w14:paraId="1DD220AC">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0DBC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809" w:type="dxa"/>
            <w:vMerge w:val="restart"/>
            <w:vAlign w:val="center"/>
          </w:tcPr>
          <w:p w14:paraId="39CEBF2A">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奖惩</w:t>
            </w:r>
          </w:p>
          <w:p w14:paraId="4577FF79">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事项</w:t>
            </w:r>
          </w:p>
        </w:tc>
        <w:tc>
          <w:tcPr>
            <w:tcW w:w="720" w:type="dxa"/>
            <w:vAlign w:val="center"/>
          </w:tcPr>
          <w:p w14:paraId="5916E2C7">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hint="eastAsia" w:ascii="Times New Roman" w:hAnsi="Times New Roman" w:eastAsia="微软雅黑" w:cs="Times New Roman"/>
                <w:color w:val="000000"/>
                <w:kern w:val="0"/>
                <w:szCs w:val="21"/>
              </w:rPr>
              <w:t>7</w:t>
            </w:r>
          </w:p>
        </w:tc>
        <w:tc>
          <w:tcPr>
            <w:tcW w:w="6150" w:type="dxa"/>
            <w:vAlign w:val="center"/>
          </w:tcPr>
          <w:p w14:paraId="681BDDEE">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因做好人好事受到群众表扬并收到表扬信、锦旗等，奖5分/次。</w:t>
            </w:r>
          </w:p>
        </w:tc>
        <w:tc>
          <w:tcPr>
            <w:tcW w:w="836" w:type="dxa"/>
            <w:vAlign w:val="center"/>
          </w:tcPr>
          <w:p w14:paraId="5255D68E">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2445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809" w:type="dxa"/>
            <w:vMerge w:val="continue"/>
            <w:vAlign w:val="center"/>
          </w:tcPr>
          <w:p w14:paraId="76C49E28">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p>
        </w:tc>
        <w:tc>
          <w:tcPr>
            <w:tcW w:w="720" w:type="dxa"/>
            <w:vAlign w:val="center"/>
          </w:tcPr>
          <w:p w14:paraId="6814CEB8">
            <w:pPr>
              <w:widowControl/>
              <w:adjustRightInd w:val="0"/>
              <w:snapToGrid w:val="0"/>
              <w:spacing w:after="200" w:line="400" w:lineRule="exact"/>
              <w:jc w:val="center"/>
              <w:rPr>
                <w:rFonts w:ascii="Times New Roman" w:hAnsi="Times New Roman" w:eastAsia="微软雅黑" w:cs="Times New Roman"/>
                <w:color w:val="000000"/>
                <w:kern w:val="0"/>
                <w:sz w:val="22"/>
                <w:szCs w:val="21"/>
              </w:rPr>
            </w:pPr>
            <w:r>
              <w:rPr>
                <w:rFonts w:hint="eastAsia" w:ascii="Times New Roman" w:hAnsi="Times New Roman" w:eastAsia="微软雅黑" w:cs="Times New Roman"/>
                <w:color w:val="000000"/>
                <w:kern w:val="0"/>
                <w:szCs w:val="21"/>
              </w:rPr>
              <w:t>8</w:t>
            </w:r>
          </w:p>
        </w:tc>
        <w:tc>
          <w:tcPr>
            <w:tcW w:w="6150" w:type="dxa"/>
            <w:vAlign w:val="center"/>
          </w:tcPr>
          <w:p w14:paraId="4D9B2994">
            <w:pPr>
              <w:widowControl/>
              <w:adjustRightInd w:val="0"/>
              <w:snapToGrid w:val="0"/>
              <w:spacing w:after="200" w:line="400" w:lineRule="exact"/>
              <w:jc w:val="left"/>
              <w:rPr>
                <w:rFonts w:ascii="Times New Roman" w:hAnsi="Times New Roman" w:eastAsia="微软雅黑" w:cs="Times New Roman"/>
                <w:color w:val="000000"/>
                <w:kern w:val="0"/>
                <w:sz w:val="22"/>
                <w:szCs w:val="21"/>
              </w:rPr>
            </w:pPr>
            <w:r>
              <w:rPr>
                <w:rFonts w:ascii="Times New Roman" w:hAnsi="Times New Roman" w:eastAsia="微软雅黑" w:cs="Times New Roman"/>
                <w:color w:val="000000"/>
                <w:kern w:val="0"/>
                <w:szCs w:val="21"/>
              </w:rPr>
              <w:t>文明服务意识差、受</w:t>
            </w:r>
            <w:r>
              <w:rPr>
                <w:rFonts w:hint="eastAsia" w:ascii="Times New Roman" w:hAnsi="Times New Roman" w:eastAsia="微软雅黑" w:cs="Times New Roman"/>
                <w:color w:val="000000"/>
                <w:kern w:val="0"/>
                <w:szCs w:val="21"/>
              </w:rPr>
              <w:t>到</w:t>
            </w:r>
            <w:r>
              <w:rPr>
                <w:rFonts w:ascii="Times New Roman" w:hAnsi="Times New Roman" w:eastAsia="微软雅黑" w:cs="Times New Roman"/>
                <w:color w:val="000000"/>
                <w:kern w:val="0"/>
                <w:szCs w:val="21"/>
              </w:rPr>
              <w:t>投诉或上级检查产生不良影响的、不能及时制止影响服务对象形象或环境的行为，扣2分/次。</w:t>
            </w:r>
          </w:p>
        </w:tc>
        <w:tc>
          <w:tcPr>
            <w:tcW w:w="836" w:type="dxa"/>
            <w:vAlign w:val="center"/>
          </w:tcPr>
          <w:p w14:paraId="28E83A7E">
            <w:pPr>
              <w:widowControl/>
              <w:adjustRightInd w:val="0"/>
              <w:snapToGrid w:val="0"/>
              <w:spacing w:after="200" w:line="480" w:lineRule="exact"/>
              <w:jc w:val="center"/>
              <w:rPr>
                <w:rFonts w:ascii="宋体" w:hAnsi="宋体" w:eastAsia="微软雅黑" w:cs="Times New Roman"/>
                <w:color w:val="000000"/>
                <w:kern w:val="0"/>
                <w:sz w:val="22"/>
                <w:szCs w:val="21"/>
              </w:rPr>
            </w:pPr>
          </w:p>
        </w:tc>
      </w:tr>
      <w:tr w14:paraId="7C579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515" w:type="dxa"/>
            <w:gridSpan w:val="4"/>
            <w:vAlign w:val="center"/>
          </w:tcPr>
          <w:p w14:paraId="2FC457F7">
            <w:pPr>
              <w:widowControl/>
              <w:adjustRightInd w:val="0"/>
              <w:snapToGrid w:val="0"/>
              <w:spacing w:after="200" w:line="480" w:lineRule="exact"/>
              <w:jc w:val="center"/>
              <w:rPr>
                <w:rFonts w:ascii="宋体" w:hAnsi="宋体" w:eastAsia="微软雅黑" w:cs="Times New Roman"/>
                <w:color w:val="000000"/>
                <w:kern w:val="0"/>
                <w:sz w:val="22"/>
                <w:szCs w:val="21"/>
              </w:rPr>
            </w:pPr>
            <w:r>
              <w:rPr>
                <w:rFonts w:ascii="宋体" w:hAnsi="宋体" w:eastAsia="微软雅黑" w:cs="Times New Roman"/>
                <w:b/>
                <w:bCs/>
                <w:color w:val="000000"/>
                <w:kern w:val="0"/>
                <w:sz w:val="22"/>
                <w:szCs w:val="21"/>
              </w:rPr>
              <w:t>实际考评得分：</w:t>
            </w:r>
            <w:r>
              <w:rPr>
                <w:rFonts w:hint="eastAsia" w:ascii="宋体" w:hAnsi="宋体" w:eastAsia="微软雅黑" w:cs="Times New Roman"/>
                <w:b/>
                <w:bCs/>
                <w:color w:val="000000"/>
                <w:kern w:val="0"/>
                <w:sz w:val="22"/>
                <w:szCs w:val="21"/>
              </w:rPr>
              <w:t xml:space="preserve">      </w:t>
            </w:r>
            <w:r>
              <w:rPr>
                <w:rFonts w:ascii="宋体" w:hAnsi="宋体" w:eastAsia="微软雅黑" w:cs="Times New Roman"/>
                <w:b/>
                <w:bCs/>
                <w:color w:val="000000"/>
                <w:kern w:val="0"/>
                <w:sz w:val="22"/>
                <w:szCs w:val="21"/>
              </w:rPr>
              <w:t>分</w:t>
            </w:r>
          </w:p>
        </w:tc>
      </w:tr>
    </w:tbl>
    <w:p w14:paraId="1E58D88E">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六、设备、工具、</w:t>
      </w:r>
      <w:r>
        <w:rPr>
          <w:rFonts w:hint="eastAsia" w:ascii="宋体" w:hAnsi="宋体" w:eastAsia="宋体" w:cs="宋体"/>
          <w:b/>
          <w:bCs/>
          <w:kern w:val="0"/>
          <w:sz w:val="32"/>
          <w:szCs w:val="32"/>
          <w:lang w:val="zh-CN"/>
        </w:rPr>
        <w:t>服装要求</w:t>
      </w:r>
    </w:p>
    <w:p w14:paraId="068C5518">
      <w:pPr>
        <w:keepNext w:val="0"/>
        <w:keepLines w:val="0"/>
        <w:pageBreakBefore w:val="0"/>
        <w:widowControl/>
        <w:kinsoku/>
        <w:wordWrap/>
        <w:overflowPunct/>
        <w:topLinePunct w:val="0"/>
        <w:autoSpaceDE/>
        <w:autoSpaceDN/>
        <w:bidi w:val="0"/>
        <w:adjustRightInd w:val="0"/>
        <w:snapToGrid w:val="0"/>
        <w:spacing w:line="440" w:lineRule="exact"/>
        <w:ind w:firstLine="482"/>
        <w:jc w:val="left"/>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1、设备及保洁工具全新或八成新以上。</w:t>
      </w:r>
    </w:p>
    <w:p w14:paraId="73951C28">
      <w:pPr>
        <w:keepNext w:val="0"/>
        <w:keepLines w:val="0"/>
        <w:pageBreakBefore w:val="0"/>
        <w:widowControl/>
        <w:kinsoku/>
        <w:wordWrap/>
        <w:overflowPunct/>
        <w:topLinePunct w:val="0"/>
        <w:autoSpaceDE/>
        <w:autoSpaceDN/>
        <w:bidi w:val="0"/>
        <w:adjustRightInd w:val="0"/>
        <w:snapToGrid w:val="0"/>
        <w:spacing w:line="440" w:lineRule="exact"/>
        <w:ind w:firstLine="482"/>
        <w:jc w:val="left"/>
        <w:textAlignment w:val="auto"/>
        <w:rPr>
          <w:rFonts w:ascii="宋体" w:hAnsi="宋体" w:eastAsia="宋体" w:cs="宋体"/>
          <w:kern w:val="0"/>
          <w:sz w:val="24"/>
          <w:szCs w:val="24"/>
          <w:lang w:val="zh-CN"/>
        </w:rPr>
      </w:pPr>
      <w:r>
        <w:rPr>
          <w:rFonts w:hint="eastAsia" w:ascii="宋体" w:hAnsi="宋体" w:eastAsia="宋体" w:cs="宋体"/>
          <w:kern w:val="0"/>
          <w:sz w:val="24"/>
          <w:szCs w:val="24"/>
          <w:lang w:val="zh-CN"/>
        </w:rPr>
        <w:t>2、装备清单，包含清洁工具、清洁用品、通讯器材等工具，各种保洁专用警示牌等。</w:t>
      </w:r>
    </w:p>
    <w:p w14:paraId="2E884741">
      <w:pPr>
        <w:widowControl/>
        <w:adjustRightInd w:val="0"/>
        <w:snapToGrid w:val="0"/>
        <w:spacing w:line="440" w:lineRule="exact"/>
        <w:ind w:firstLine="48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中标人进驻前一天，必须将以上设备进入到工作区域，缺一不可。否则采购人将拒绝中标人进场，所产生的责任由中标人承担。合同生效后3个工作日内因中标人未将上述设备完全提供导致延误的，采购人将报政府采购管理部门进行处理并追究其违约责任。</w:t>
      </w:r>
    </w:p>
    <w:p w14:paraId="55F1F50C">
      <w:pPr>
        <w:widowControl/>
        <w:adjustRightInd w:val="0"/>
        <w:snapToGrid w:val="0"/>
        <w:spacing w:line="440" w:lineRule="exact"/>
        <w:ind w:firstLine="48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4、人员服装要求</w:t>
      </w:r>
    </w:p>
    <w:p w14:paraId="23D3E7E9">
      <w:pPr>
        <w:widowControl/>
        <w:adjustRightInd w:val="0"/>
        <w:snapToGrid w:val="0"/>
        <w:spacing w:line="440" w:lineRule="exact"/>
        <w:ind w:firstLine="48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保持良好的服务精神面貌，项目组成员（除项目经理外）应着装统一制服，服装整洁合体，穿戴整齐（佩戴工号牌或工作证，纽扣应全部扣好，不得敞开外衣，卷起裤脚、衣袖，领带必须结正，服装口袋不得装过大过厚物品）。</w:t>
      </w:r>
    </w:p>
    <w:p w14:paraId="266F3F79">
      <w:pPr>
        <w:widowControl/>
        <w:adjustRightInd w:val="0"/>
        <w:snapToGrid w:val="0"/>
        <w:spacing w:line="440" w:lineRule="exact"/>
        <w:ind w:firstLine="48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（2）人员服装应全新，质量上乘，为纯棉制品，穿着舒适，经久耐穿，具备本单位特色，且能够展示本单位和采购人单位场所风采。投标文件中按岗位不同分别提供服装样式图片。</w:t>
      </w:r>
    </w:p>
    <w:p w14:paraId="03A8EDB0">
      <w:pPr>
        <w:widowControl/>
        <w:adjustRightInd w:val="0"/>
        <w:snapToGrid w:val="0"/>
        <w:spacing w:line="440" w:lineRule="exact"/>
        <w:ind w:firstLine="482"/>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（3）服装数量要求：项目组成员（除项目经理外）每人每季节2套服装（包括上衣和裤子），其中春夏季为短袖样式，秋冬季为长袖样式。服装由中标人在采购人指定时间前备案并发放至员工。</w:t>
      </w:r>
    </w:p>
    <w:p w14:paraId="17FCD939">
      <w:pPr>
        <w:keepNext/>
        <w:keepLines/>
        <w:spacing w:line="600" w:lineRule="exact"/>
        <w:outlineLvl w:val="1"/>
        <w:rPr>
          <w:rFonts w:ascii="宋体" w:hAnsi="宋体" w:eastAsia="宋体" w:cs="宋体"/>
          <w:b/>
          <w:bCs/>
          <w:kern w:val="0"/>
          <w:sz w:val="24"/>
          <w:szCs w:val="24"/>
        </w:rPr>
      </w:pPr>
      <w:r>
        <w:rPr>
          <w:rFonts w:hint="eastAsia" w:ascii="宋体" w:hAnsi="宋体" w:eastAsia="宋体" w:cs="宋体"/>
          <w:b/>
          <w:bCs/>
          <w:kern w:val="0"/>
          <w:sz w:val="24"/>
          <w:szCs w:val="24"/>
        </w:rPr>
        <w:t>七、进退场交接方案及要求</w:t>
      </w:r>
    </w:p>
    <w:p w14:paraId="5E5DCE2F">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进退场交接方案：投标人提供针对本项目特点的进退场交接方案，制定项目交接时间进度安排、具体交接的内容、交接重点难点分析及解决方案，确保项目平稳过渡和正常运行。</w:t>
      </w:r>
    </w:p>
    <w:p w14:paraId="323640A0">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（一）进场交接要求</w:t>
      </w:r>
    </w:p>
    <w:p w14:paraId="21C206B7">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1. 交接准备</w:t>
      </w:r>
    </w:p>
    <w:p w14:paraId="6FA04695">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进场前勘查：新物业服务企业在进场前对办公楼进行全面勘查，了解设施设备、环境、安全等情况。</w:t>
      </w:r>
    </w:p>
    <w:p w14:paraId="34CC96FF">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人员培训：新物业服务企业应对员工进行岗前培训，确保熟悉办公楼的管理制度和服务标准。</w:t>
      </w:r>
    </w:p>
    <w:p w14:paraId="79B7C43B">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2.交接内容</w:t>
      </w:r>
    </w:p>
    <w:p w14:paraId="315E698B">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资料交接：包括但不限于建筑图纸、设备档案、合同、业主信息、历史维修记录等。</w:t>
      </w:r>
    </w:p>
    <w:p w14:paraId="4F5442AB">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设施设备交接：对办公楼内的电梯、空调、消防、安防等设备进行清点，确保设备完好并处于正常运行状态。</w:t>
      </w:r>
    </w:p>
    <w:p w14:paraId="4ED5AB9D">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物资交接：包括办公用品、清洁工具、安保器材等，确保数量和质量符合要求。</w:t>
      </w:r>
    </w:p>
    <w:p w14:paraId="174A57E1">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财务交接：涉及物业费、押金、未结清费用等，双方应核对账目并签字确认。</w:t>
      </w:r>
    </w:p>
    <w:p w14:paraId="27FF318C">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3.交接程序</w:t>
      </w:r>
    </w:p>
    <w:p w14:paraId="604A61CF">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交接会议：双方应召开交接会议，明确交接内容、时间、责任等事项。</w:t>
      </w:r>
    </w:p>
    <w:p w14:paraId="4C717AA0">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现场交接：双方应共同对办公楼进行现场检查，确认设施设备、物资等的状况。</w:t>
      </w:r>
    </w:p>
    <w:p w14:paraId="2D6AE374">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签字确认：交接完成后，双方应签署交接文件，确认交接内容。</w:t>
      </w:r>
    </w:p>
    <w:p w14:paraId="79951668">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（二）退场交接要求</w:t>
      </w:r>
    </w:p>
    <w:p w14:paraId="15B76D63">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1.退场准备</w:t>
      </w:r>
    </w:p>
    <w:p w14:paraId="74E32B19">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资料整理：退场物业服务企业应整理好所有相关资料，包括设备档案、维修记录、合同等。</w:t>
      </w:r>
    </w:p>
    <w:p w14:paraId="32052F34">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设施设备检查：退场前应对办公楼内的设施设备进行全面检查，确保设备正常运行。</w:t>
      </w:r>
    </w:p>
    <w:p w14:paraId="27ECEA2C">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物资清点：退场前应对所有物资进行清点，确保无遗失或损坏。</w:t>
      </w:r>
    </w:p>
    <w:p w14:paraId="50E19611">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2.退场内容</w:t>
      </w:r>
    </w:p>
    <w:p w14:paraId="0FAE829C">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资料移交：退场物业服务企业应将所有相关资料移交给新物业服务企业或业主方。</w:t>
      </w:r>
    </w:p>
    <w:p w14:paraId="05DD5138">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设施设备移交：退场物业服务企业应确保所有设施设备处于正常运行状态，并移交给新物业服务企业或业主方。</w:t>
      </w:r>
    </w:p>
    <w:p w14:paraId="77066333">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物资移交：退场物业服务企业应将所有物资移交给新物业服务企业或业主方，确保数量和质量符合要求。</w:t>
      </w:r>
    </w:p>
    <w:p w14:paraId="06A64502">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财务结算：退场物业服务企业应与业主方进行财务结算，结清所有费用。</w:t>
      </w:r>
    </w:p>
    <w:p w14:paraId="0C93B5B8">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3.退场程序</w:t>
      </w:r>
    </w:p>
    <w:p w14:paraId="256E41D7">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退场会议：双方应召开退场会议，明确退场内容、时间、责任等事项。</w:t>
      </w:r>
    </w:p>
    <w:p w14:paraId="0A9AF231">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现场检查：双方应共同对办公楼进行现场检查，确认设施设备、物资等的状况。</w:t>
      </w:r>
    </w:p>
    <w:p w14:paraId="0945B54B">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签字确认：退场完成后，双方应签署退场文件，确认退场内容。</w:t>
      </w:r>
    </w:p>
    <w:p w14:paraId="59308769">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（三）其他要求</w:t>
      </w:r>
    </w:p>
    <w:p w14:paraId="778E5EE7">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1.交接时间：进退场交接应在合同规定的期限内完成，确保不影响办公楼的正常使用。</w:t>
      </w:r>
    </w:p>
    <w:p w14:paraId="76D8C817">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2.交接责任：双方应明确交接过程中的责任，确保交接顺利进行。</w:t>
      </w:r>
    </w:p>
    <w:p w14:paraId="0B7C88F5">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3.交接记录：交接过程应详细记录，双方签字确认，作为后续管理的依据。</w:t>
      </w:r>
    </w:p>
    <w:p w14:paraId="2F118C15">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通过以上要求，确保行政办公楼物业服务采购项目的进退场交接顺利进行，保障物业服务的连续性和质量。</w:t>
      </w:r>
    </w:p>
    <w:p w14:paraId="36A7B9B3">
      <w:pPr>
        <w:keepNext/>
        <w:keepLines/>
        <w:spacing w:line="600" w:lineRule="exact"/>
        <w:outlineLvl w:val="1"/>
        <w:rPr>
          <w:rFonts w:ascii="宋体" w:hAnsi="宋体" w:eastAsia="宋体" w:cs="宋体"/>
          <w:b/>
          <w:bCs/>
          <w:kern w:val="0"/>
          <w:sz w:val="24"/>
          <w:szCs w:val="24"/>
        </w:rPr>
      </w:pPr>
      <w:r>
        <w:rPr>
          <w:rFonts w:hint="eastAsia" w:ascii="宋体" w:hAnsi="宋体" w:eastAsia="宋体" w:cs="宋体"/>
          <w:b/>
          <w:bCs/>
          <w:kern w:val="0"/>
          <w:sz w:val="24"/>
          <w:szCs w:val="24"/>
        </w:rPr>
        <w:t>八、重大活动保障及应急预案</w:t>
      </w:r>
    </w:p>
    <w:p w14:paraId="72D67BCD">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（1）制订流程。配合采购人制订重大活动后勤保障工作流程，需对任务进行详细了解，并根据工作安排制定详细的后勤保障计划。</w:t>
      </w:r>
    </w:p>
    <w:p w14:paraId="25E06FC9">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299C60F3">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（3）收尾工作。对现场进行检查，做好清理工作。</w:t>
      </w:r>
    </w:p>
    <w:p w14:paraId="6AA25091">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4）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396EEF8C">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5）应急预案的建立。根据办公楼隐患排查的结果和实际情况，制定专项预案，包括但不限于：火情火警紧急处理应急预案、紧急疏散应急预案、停水停电应急预案、有限空间救援应急预案、恶劣天气应对应急预案等。</w:t>
      </w:r>
    </w:p>
    <w:p w14:paraId="23C67108">
      <w:pPr>
        <w:widowControl/>
        <w:spacing w:line="440" w:lineRule="exact"/>
        <w:ind w:firstLine="482"/>
        <w:jc w:val="left"/>
        <w:rPr>
          <w:rFonts w:hint="eastAsia" w:ascii="Times New Roman" w:hAnsi="Times New Roman" w:eastAsia="宋体" w:cs="宋体"/>
          <w:kern w:val="0"/>
          <w:sz w:val="24"/>
          <w:szCs w:val="24"/>
          <w:lang w:val="zh-CN" w:bidi="zh-CN"/>
        </w:rPr>
      </w:pPr>
      <w:r>
        <w:rPr>
          <w:rFonts w:hint="eastAsia" w:ascii="Times New Roman" w:hAnsi="Times New Roman" w:eastAsia="宋体" w:cs="宋体"/>
          <w:kern w:val="0"/>
          <w:sz w:val="24"/>
          <w:szCs w:val="24"/>
          <w:lang w:val="zh-CN" w:bidi="zh-CN"/>
        </w:rPr>
        <w:t>（6）应急预案的培训和演练。应急预案定期培训和演练，组织相关岗位每半年至少开展一次专项应急预案演练；留存培训及演练记录和影像资料，并对预案进行评价，确保与实际情况相结合。</w:t>
      </w:r>
    </w:p>
    <w:p w14:paraId="463326CF">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val="zh-CN" w:bidi="zh-CN"/>
        </w:rPr>
        <w:t>（7）应急物资的管理。根据专项预案中的应对需要、必要的应急物资，建立清单或台账，并由专人定期对应急物资进行检查，如有应急物资不足，及时通知采购人购置齐全，确保能够随时正常使用。</w:t>
      </w:r>
    </w:p>
    <w:p w14:paraId="7CA79D56">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九、报价要求</w:t>
      </w:r>
    </w:p>
    <w:p w14:paraId="42D7A336">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1.投标人按照本项目特点编制投标分项报价表，内容主要包含完成本项工作所需的人员工资（不得低于宿迁市现行最低工资标准）及加班费（含节假日）等补助和福利费、耗材费、人员服装、给符合缴纳社保成员缴纳全额社保、全员全额意外险（或雇主责任险）、税金、利润、政策性调整引起的成本上升风险以及为完成物业服务管理工作所涉及到的一切所有费用，采购人在上述价款之外不再支付其他任何费用。</w:t>
      </w:r>
    </w:p>
    <w:p w14:paraId="28BD55BA">
      <w:pPr>
        <w:widowControl/>
        <w:spacing w:line="440" w:lineRule="exact"/>
        <w:ind w:firstLine="480"/>
        <w:jc w:val="left"/>
        <w:rPr>
          <w:rFonts w:ascii="Times New Roman" w:hAnsi="Times New Roman" w:eastAsia="宋体" w:cs="宋体"/>
          <w:bCs/>
          <w:i/>
          <w:iCs/>
          <w:color w:val="FF0000"/>
          <w:kern w:val="0"/>
          <w:sz w:val="24"/>
          <w:szCs w:val="24"/>
        </w:rPr>
      </w:pPr>
      <w:r>
        <w:rPr>
          <w:rFonts w:hint="eastAsia" w:ascii="Times New Roman" w:hAnsi="Times New Roman" w:eastAsia="宋体" w:cs="宋体"/>
          <w:bCs/>
          <w:i/>
          <w:iCs/>
          <w:color w:val="FF0000"/>
          <w:kern w:val="0"/>
          <w:sz w:val="24"/>
          <w:szCs w:val="24"/>
        </w:rPr>
        <w:t>2．投标人应在投标文件中明确增值税纳税人身份（增值税一般纳税人或是小规模纳税人），投标文件中提供相应纳税人身份证明截图，并根据本单位纳税人身份在投标明细报价表中按国家规定如实填报税金。否则，按无效标处理。</w:t>
      </w:r>
    </w:p>
    <w:p w14:paraId="65F4E267">
      <w:pPr>
        <w:widowControl/>
        <w:spacing w:line="440" w:lineRule="exact"/>
        <w:ind w:firstLine="480"/>
        <w:jc w:val="left"/>
        <w:rPr>
          <w:rFonts w:ascii="Times New Roman" w:hAnsi="Times New Roman" w:eastAsia="宋体" w:cs="宋体"/>
          <w:bCs/>
          <w:i/>
          <w:iCs/>
          <w:color w:val="FF0000"/>
          <w:kern w:val="0"/>
          <w:sz w:val="24"/>
          <w:szCs w:val="24"/>
        </w:rPr>
      </w:pPr>
      <w:r>
        <w:rPr>
          <w:rFonts w:hint="eastAsia" w:ascii="Times New Roman" w:hAnsi="Times New Roman" w:eastAsia="宋体" w:cs="宋体"/>
          <w:bCs/>
          <w:i/>
          <w:iCs/>
          <w:color w:val="FF0000"/>
          <w:kern w:val="0"/>
          <w:sz w:val="24"/>
          <w:szCs w:val="24"/>
        </w:rPr>
        <w:t>3．投标人应在投标分项报价表中为项目组所有成员（合计</w:t>
      </w:r>
      <w:r>
        <w:rPr>
          <w:rFonts w:hint="eastAsia" w:ascii="Times New Roman" w:hAnsi="Times New Roman" w:eastAsia="宋体" w:cs="宋体"/>
          <w:bCs/>
          <w:i/>
          <w:iCs/>
          <w:color w:val="FF0000"/>
          <w:kern w:val="0"/>
          <w:sz w:val="24"/>
          <w:szCs w:val="24"/>
          <w:u w:val="single"/>
        </w:rPr>
        <w:t>35</w:t>
      </w:r>
      <w:r>
        <w:rPr>
          <w:rFonts w:hint="eastAsia" w:ascii="Times New Roman" w:hAnsi="Times New Roman" w:eastAsia="宋体" w:cs="宋体"/>
          <w:bCs/>
          <w:i/>
          <w:iCs/>
          <w:color w:val="FF0000"/>
          <w:kern w:val="0"/>
          <w:sz w:val="24"/>
          <w:szCs w:val="24"/>
        </w:rPr>
        <w:t>人）填报、购买意外险（或雇主责任险），保险单价不得低于本单位2024年1月1日以来任意一次为员工购买意外险或雇主责任险的单价（提供保险机构出具的保险凭证，凭证中应明确反映本单位员工保险内容和价格）。否则，按无效标处理。</w:t>
      </w:r>
    </w:p>
    <w:p w14:paraId="22D77584">
      <w:pPr>
        <w:widowControl/>
        <w:spacing w:line="440" w:lineRule="exact"/>
        <w:ind w:firstLine="480"/>
        <w:jc w:val="left"/>
        <w:rPr>
          <w:rFonts w:ascii="Times New Roman" w:hAnsi="Times New Roman" w:eastAsia="宋体" w:cs="宋体"/>
          <w:bCs/>
          <w:i/>
          <w:color w:val="FF0000"/>
          <w:kern w:val="0"/>
          <w:sz w:val="24"/>
          <w:szCs w:val="24"/>
          <w:u w:val="single"/>
          <w:lang w:bidi="zh-CN"/>
        </w:rPr>
      </w:pPr>
      <w:r>
        <w:rPr>
          <w:rFonts w:hint="eastAsia" w:ascii="Times New Roman" w:hAnsi="Times New Roman" w:eastAsia="宋体" w:cs="宋体"/>
          <w:bCs/>
          <w:i/>
          <w:iCs/>
          <w:color w:val="FF0000"/>
          <w:kern w:val="0"/>
          <w:sz w:val="24"/>
          <w:szCs w:val="24"/>
        </w:rPr>
        <w:t>4.投标人应在投标分项报价表中为项目经理，全额填报、购买社保，否则，按无效标处理。</w:t>
      </w:r>
    </w:p>
    <w:p w14:paraId="36A764CE">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注：下表为宿迁市社保最低缴纳标准，投标人应按不低于此标准报价。社保缴纳应当符合行政主管部门相关规定。如遇政策调整，投标人自行承担。</w:t>
      </w:r>
    </w:p>
    <w:tbl>
      <w:tblPr>
        <w:tblStyle w:val="2"/>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1721"/>
        <w:gridCol w:w="6167"/>
      </w:tblGrid>
      <w:tr w14:paraId="4A965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46" w:type="dxa"/>
            <w:vAlign w:val="center"/>
          </w:tcPr>
          <w:p w14:paraId="76BB11A0">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721" w:type="dxa"/>
            <w:vAlign w:val="center"/>
          </w:tcPr>
          <w:p w14:paraId="1C62B6BD">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6167" w:type="dxa"/>
            <w:vAlign w:val="center"/>
          </w:tcPr>
          <w:p w14:paraId="7910E4B0">
            <w:pPr>
              <w:spacing w:line="480" w:lineRule="exact"/>
              <w:jc w:val="center"/>
              <w:rPr>
                <w:rFonts w:ascii="宋体" w:hAnsi="宋体" w:eastAsia="宋体" w:cs="宋体"/>
                <w:kern w:val="0"/>
                <w:sz w:val="24"/>
                <w:szCs w:val="24"/>
              </w:rPr>
            </w:pPr>
            <w:r>
              <w:rPr>
                <w:rFonts w:hint="eastAsia" w:ascii="宋体" w:hAnsi="宋体" w:eastAsia="宋体" w:cs="宋体"/>
                <w:kern w:val="0"/>
                <w:sz w:val="24"/>
                <w:szCs w:val="24"/>
              </w:rPr>
              <w:t>计算公式</w:t>
            </w:r>
          </w:p>
        </w:tc>
      </w:tr>
      <w:tr w14:paraId="0C59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946" w:type="dxa"/>
            <w:vAlign w:val="center"/>
          </w:tcPr>
          <w:p w14:paraId="2F64B903">
            <w:pPr>
              <w:spacing w:line="480" w:lineRule="exact"/>
              <w:ind w:firstLine="241"/>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1721" w:type="dxa"/>
            <w:vAlign w:val="center"/>
          </w:tcPr>
          <w:p w14:paraId="2C257093">
            <w:pPr>
              <w:spacing w:line="480" w:lineRule="exact"/>
              <w:jc w:val="left"/>
              <w:rPr>
                <w:rFonts w:ascii="宋体" w:hAnsi="宋体" w:eastAsia="宋体" w:cs="宋体"/>
                <w:kern w:val="0"/>
                <w:sz w:val="24"/>
                <w:szCs w:val="24"/>
              </w:rPr>
            </w:pPr>
            <w:r>
              <w:rPr>
                <w:rFonts w:hint="eastAsia" w:ascii="宋体" w:hAnsi="宋体" w:eastAsia="宋体" w:cs="宋体"/>
                <w:kern w:val="0"/>
                <w:sz w:val="24"/>
                <w:szCs w:val="24"/>
              </w:rPr>
              <w:t>单位社保缴纳标准及费用</w:t>
            </w:r>
          </w:p>
        </w:tc>
        <w:tc>
          <w:tcPr>
            <w:tcW w:w="6167" w:type="dxa"/>
            <w:vAlign w:val="center"/>
          </w:tcPr>
          <w:p w14:paraId="33DA3A73">
            <w:pPr>
              <w:spacing w:line="480" w:lineRule="exact"/>
              <w:jc w:val="left"/>
              <w:rPr>
                <w:rFonts w:ascii="宋体" w:hAnsi="宋体" w:eastAsia="宋体" w:cs="宋体"/>
                <w:kern w:val="0"/>
                <w:sz w:val="24"/>
                <w:szCs w:val="24"/>
              </w:rPr>
            </w:pPr>
            <w:r>
              <w:rPr>
                <w:rFonts w:hint="eastAsia" w:ascii="宋体" w:hAnsi="宋体" w:eastAsia="宋体" w:cs="宋体"/>
                <w:kern w:val="0"/>
                <w:sz w:val="24"/>
                <w:szCs w:val="24"/>
              </w:rPr>
              <w:t>缴费基数（≥4879）*【16%（养老保险）＋0.5%（失业险）＋7%（医疗保险）＋1%（生育险）+0.4%（工伤险）】+5</w:t>
            </w:r>
          </w:p>
        </w:tc>
      </w:tr>
    </w:tbl>
    <w:p w14:paraId="188373BB">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5．为保证服务队伍的整体素质和相对稳定性，投标人应充分考虑管理和服务人员的工资待遇。投标人要综合考虑宿迁劳动市场因素，激发员工积极性，不同岗位合理分配工资。</w:t>
      </w:r>
    </w:p>
    <w:p w14:paraId="5F994DB8">
      <w:pPr>
        <w:widowControl/>
        <w:spacing w:line="440" w:lineRule="exact"/>
        <w:ind w:firstLine="482"/>
        <w:jc w:val="left"/>
        <w:rPr>
          <w:rFonts w:ascii="Times New Roman" w:hAnsi="Times New Roman" w:eastAsia="宋体" w:cs="宋体"/>
          <w:bCs/>
          <w:i/>
          <w:color w:val="FF0000"/>
          <w:kern w:val="0"/>
          <w:sz w:val="24"/>
          <w:szCs w:val="24"/>
          <w:u w:val="single"/>
          <w:lang w:bidi="zh-CN"/>
        </w:rPr>
      </w:pPr>
      <w:r>
        <w:rPr>
          <w:rFonts w:hint="eastAsia" w:ascii="Times New Roman" w:hAnsi="Times New Roman" w:eastAsia="宋体" w:cs="宋体"/>
          <w:bCs/>
          <w:i/>
          <w:color w:val="FF0000"/>
          <w:kern w:val="0"/>
          <w:sz w:val="24"/>
          <w:szCs w:val="24"/>
          <w:u w:val="single"/>
          <w:lang w:bidi="zh-CN"/>
        </w:rPr>
        <w:t>人员工资不得低于宿迁市目前最低工资标准，即按《关于调整全市最低工资标准的通知》（宿人社发〔2024〕1号）政策执行，否则按无效标处理。</w:t>
      </w:r>
    </w:p>
    <w:p w14:paraId="346F12F0">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6. 项目履约过程中，项目所需工具、设备、物耗等均由中标人提供，投标文件中必须提供能满足服务要求所配置的工具、设备明细表，并在物耗明细表中列明，如在服务期内，中标人提供工具、设备、物耗等质量不符合采购人要求的，应按采购人要求无条件更换。</w:t>
      </w:r>
    </w:p>
    <w:p w14:paraId="72F8BF18">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7．项目履约过程中，中标人应根据工作需要，安排好双休日及节假日的值班人员，编制各岗位排班表报采购人备案后执行，所涉及的费用，包含在此次报价中。</w:t>
      </w:r>
    </w:p>
    <w:p w14:paraId="311EADDD">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8.中标单位每月15日前需将人员工资支付、社保缴纳情况报采购人备案。</w:t>
      </w:r>
    </w:p>
    <w:p w14:paraId="356A827C">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9.其他物业管理服务质量要求按江苏省、宿迁市有关标准及采购需求执行，涉及费用均包含在本次投标报价中。</w:t>
      </w:r>
    </w:p>
    <w:p w14:paraId="3B2DF899">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10．投标人结合对采购需求与预算的理解，结合物业服务市场价格，根据不同岗位员工工资、加班补助、劳保福利、社保、意外险、耗材等费用，根据明细报价表中所列的各项费用，提供服务费用分配方案和费用测算分析说明。在保障服务要求的基础上，采取措施激励合同履行人员，提高履约质量。</w:t>
      </w:r>
    </w:p>
    <w:p w14:paraId="0E6B5A31">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十、合同期限</w:t>
      </w:r>
    </w:p>
    <w:p w14:paraId="5B622ECF">
      <w:pPr>
        <w:widowControl/>
        <w:adjustRightInd w:val="0"/>
        <w:snapToGrid w:val="0"/>
        <w:spacing w:after="200"/>
        <w:jc w:val="left"/>
        <w:rPr>
          <w:rFonts w:ascii="宋体" w:hAnsi="宋体" w:eastAsia="微软雅黑" w:cs="宋体"/>
          <w:kern w:val="0"/>
          <w:sz w:val="24"/>
          <w:szCs w:val="24"/>
          <w:lang w:bidi="zh-CN"/>
        </w:rPr>
      </w:pPr>
      <w:r>
        <w:rPr>
          <w:rFonts w:hint="eastAsia" w:ascii="宋体" w:hAnsi="宋体" w:eastAsia="微软雅黑" w:cs="宋体"/>
          <w:kern w:val="0"/>
          <w:sz w:val="24"/>
          <w:szCs w:val="24"/>
          <w:lang w:bidi="zh-CN"/>
        </w:rPr>
        <w:t>2年，自合同签订之日起计算</w:t>
      </w:r>
    </w:p>
    <w:p w14:paraId="28D17253">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十一、付款方式</w:t>
      </w:r>
    </w:p>
    <w:p w14:paraId="64C8A927">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签订合同且收到供应商发票后10个工作日内，支付10%的合同款作为预付款；服务费用由采购人按每三个月支付一次。中标人按月根据实际发生的所有后勤物业管理（考核后的）费用开据合法票据，采购人将前三个月实际发生的所有后勤物业管理（考核后的）费用支付给中标人。</w:t>
      </w:r>
    </w:p>
    <w:p w14:paraId="1FC05729">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注：在签订合同时，供应商明确表示无需预付款或者主动要求降低预付款比例的，采购人可不适用前述规定。</w:t>
      </w:r>
    </w:p>
    <w:p w14:paraId="138AE80E">
      <w:pPr>
        <w:keepNext/>
        <w:keepLines/>
        <w:spacing w:line="600" w:lineRule="exact"/>
        <w:outlineLvl w:val="1"/>
        <w:rPr>
          <w:rFonts w:ascii="宋体" w:hAnsi="宋体" w:eastAsia="宋体" w:cs="宋体"/>
          <w:b/>
          <w:bCs/>
          <w:kern w:val="0"/>
          <w:sz w:val="32"/>
          <w:szCs w:val="32"/>
        </w:rPr>
      </w:pPr>
      <w:r>
        <w:rPr>
          <w:rFonts w:hint="eastAsia" w:ascii="宋体" w:hAnsi="宋体" w:eastAsia="宋体" w:cs="宋体"/>
          <w:b/>
          <w:bCs/>
          <w:kern w:val="0"/>
          <w:sz w:val="32"/>
          <w:szCs w:val="32"/>
        </w:rPr>
        <w:t>十二、款项支付相关要求</w:t>
      </w:r>
    </w:p>
    <w:p w14:paraId="0D2350B4">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1．采购人按照中标人实际投入人员数量及各单项人均费用并经考核完成后据实结算。合同期间，如增减服务范围，按实际增减的人员和单项人均单价调整服务价款。中标人未按要求向采购人提供发票的，采购人有权不予付款，直至发票按要求提供正确为止。且采购人有权从应付款项中直接扣除应由中标人承担的违约金及其他相关款项。</w:t>
      </w:r>
    </w:p>
    <w:p w14:paraId="3CCF2111">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 xml:space="preserve"> 2. 每年开展不少于2次考核评价，到期按采购方出具的考核结果据实支付，其中服务费用的80%作为基本服务费用，20%作为考核费用。考核成绩在95分以上（含95分）全额支付当期全部服务费用；</w:t>
      </w:r>
    </w:p>
    <w:p w14:paraId="39C049AD">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考核成绩在90-95分（含90分）之间的，当期服务费用为：基本服务费用+[（实际得分）/100]*考核费用；</w:t>
      </w:r>
    </w:p>
    <w:p w14:paraId="63BA11A8">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考核成绩在80-90分（含80分）之间的，当期服务费用为基本服务费用+[1-2*（100-实际得分）/100]*考核费用；</w:t>
      </w:r>
    </w:p>
    <w:p w14:paraId="0D3C638E">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考核成绩在80分以下为不合格，当期服务费用为基本服务费用。</w:t>
      </w:r>
    </w:p>
    <w:p w14:paraId="2CECA76A">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3．中标人须按以不低于投标报价确定标准给员工发放工资、给符合缴纳社保成员缴纳全额社保、给全员全额购买意外险（或雇主责任险），相关标准在采购合同中予以明确，如中标人违反合同约定，采购人将按违约处理不予支付当期合同款，并有权收取违约金5万元</w:t>
      </w:r>
      <w:bookmarkStart w:id="4" w:name="OLE_LINK69"/>
      <w:r>
        <w:rPr>
          <w:rFonts w:hint="eastAsia" w:ascii="Times New Roman" w:hAnsi="Times New Roman" w:eastAsia="宋体" w:cs="宋体"/>
          <w:kern w:val="0"/>
          <w:sz w:val="24"/>
          <w:szCs w:val="24"/>
          <w:lang w:bidi="zh-CN"/>
        </w:rPr>
        <w:t>并追究违约责任，</w:t>
      </w:r>
      <w:bookmarkEnd w:id="4"/>
      <w:r>
        <w:rPr>
          <w:rFonts w:hint="eastAsia" w:ascii="Times New Roman" w:hAnsi="Times New Roman" w:eastAsia="宋体" w:cs="宋体"/>
          <w:kern w:val="0"/>
          <w:sz w:val="24"/>
          <w:szCs w:val="24"/>
          <w:lang w:bidi="zh-CN"/>
        </w:rPr>
        <w:t>并按擅自变更合同违法行为报监管部门处罚。另如有违反《劳动法》等相关规定的，报相关主管部门处理。</w:t>
      </w:r>
    </w:p>
    <w:p w14:paraId="3F91A591">
      <w:pPr>
        <w:widowControl/>
        <w:spacing w:line="440" w:lineRule="exact"/>
        <w:ind w:firstLine="482"/>
        <w:jc w:val="left"/>
        <w:rPr>
          <w:rFonts w:hint="eastAsia" w:ascii="Times New Roman" w:hAnsi="Times New Roman" w:eastAsia="宋体" w:cs="宋体"/>
          <w:kern w:val="0"/>
          <w:sz w:val="24"/>
          <w:szCs w:val="24"/>
          <w:lang w:bidi="zh-CN"/>
        </w:rPr>
      </w:pPr>
      <w:r>
        <w:rPr>
          <w:rFonts w:hint="eastAsia" w:ascii="Times New Roman" w:hAnsi="Times New Roman" w:eastAsia="宋体" w:cs="宋体"/>
          <w:kern w:val="0"/>
          <w:sz w:val="24"/>
          <w:szCs w:val="24"/>
          <w:lang w:bidi="zh-CN"/>
        </w:rPr>
        <w:t>4．项目履约过程中，如中标人服务人员经采购人同意进场更换导致服务人数不足的，采购人将按照相应的日工资进行扣除后支付当期的合同款。未经采购人书面同意擅自减少服务人员数量的，采购人将按违约处理不予支付当期合同款，并有权收取违约金5万元并追究违约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E1467"/>
    <w:rsid w:val="243E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2025-07-30T09:52:00Z</dcterms:created>
  <dc:creator>张</dc:creator>
  <cp:lastModifiedBy>张</cp:lastModifiedBy>
  <dcterms:modified xsi:type="dcterms:W3CDTF">2025-07-30T09:54:52Z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56C9E9EF00B74721AE44C462AF85E9AD_11</vt:lpwstr>
  </property>
  <property fmtid="{D5CDD505-2E9C-101B-9397-08002B2CF9AE}" pid="4" name="KSOTemplateDocerSaveRecord">
    <vt:lpwstr>eyJoZGlkIjoiZGZkYTcyNDVkNTUxM2E1YTFhMGU0YzRjYTUxNDM4YmUiLCJ1c2VySWQiOiIzODQ2MzMxNzYifQ==</vt:lpwstr>
  </property>
</Properties>
</file>